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C62A694">
      <w:pPr>
        <w:pStyle w:val="88"/>
        <w:rPr>
          <w:rFonts w:hint="eastAsia" w:eastAsia="黑体"/>
          <w:lang w:eastAsia="zh-CN"/>
        </w:rPr>
        <w:sectPr>
          <w:headerReference r:id="rId3" w:type="default"/>
          <w:headerReference r:id="rId4" w:type="even"/>
          <w:pgSz w:w="11906" w:h="16838"/>
          <w:pgMar w:top="1701" w:right="1531" w:bottom="1701" w:left="1531" w:header="851" w:footer="1077" w:gutter="0"/>
          <w:cols w:space="720" w:num="1"/>
          <w:docGrid w:linePitch="312" w:charSpace="0"/>
        </w:sectPr>
      </w:pPr>
      <w:r>
        <w:rPr>
          <w:rFonts w:hint="eastAsia" w:eastAsia="黑体"/>
          <w:lang w:eastAsia="zh-CN"/>
        </w:rPr>
        <w:drawing>
          <wp:inline distT="0" distB="0" distL="114300" distR="114300">
            <wp:extent cx="5611495" cy="7261860"/>
            <wp:effectExtent l="0" t="0" r="12065" b="7620"/>
            <wp:docPr id="55" name="图片 55" descr="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封面_00"/>
                    <pic:cNvPicPr>
                      <a:picLocks noChangeAspect="1"/>
                    </pic:cNvPicPr>
                  </pic:nvPicPr>
                  <pic:blipFill>
                    <a:blip r:embed="rId8"/>
                    <a:stretch>
                      <a:fillRect/>
                    </a:stretch>
                  </pic:blipFill>
                  <pic:spPr>
                    <a:xfrm>
                      <a:off x="0" y="0"/>
                      <a:ext cx="5611495" cy="7261860"/>
                    </a:xfrm>
                    <a:prstGeom prst="rect">
                      <a:avLst/>
                    </a:prstGeom>
                  </pic:spPr>
                </pic:pic>
              </a:graphicData>
            </a:graphic>
          </wp:inline>
        </w:drawing>
      </w:r>
    </w:p>
    <w:p w14:paraId="6398BC38">
      <w:pPr>
        <w:pStyle w:val="88"/>
        <w:rPr>
          <w:rFonts w:hint="eastAsia" w:eastAsia="黑体"/>
          <w:lang w:eastAsia="zh-CN"/>
        </w:rPr>
        <w:sectPr>
          <w:pgSz w:w="11906" w:h="16838"/>
          <w:pgMar w:top="1701" w:right="1531" w:bottom="1701" w:left="1531" w:header="851" w:footer="1077" w:gutter="0"/>
          <w:cols w:space="720" w:num="1"/>
          <w:docGrid w:linePitch="312" w:charSpace="0"/>
        </w:sectPr>
      </w:pPr>
      <w:r>
        <w:rPr>
          <w:rFonts w:hint="eastAsia" w:eastAsia="黑体"/>
          <w:lang w:eastAsia="zh-CN"/>
        </w:rPr>
        <w:drawing>
          <wp:inline distT="0" distB="0" distL="114300" distR="114300">
            <wp:extent cx="5613400" cy="7817485"/>
            <wp:effectExtent l="0" t="0" r="10160" b="635"/>
            <wp:docPr id="48" name="图片 48" descr="da3aef5b0fba890b589df518bb9d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a3aef5b0fba890b589df518bb9d8e4"/>
                    <pic:cNvPicPr>
                      <a:picLocks noChangeAspect="1"/>
                    </pic:cNvPicPr>
                  </pic:nvPicPr>
                  <pic:blipFill>
                    <a:blip r:embed="rId9"/>
                    <a:stretch>
                      <a:fillRect/>
                    </a:stretch>
                  </pic:blipFill>
                  <pic:spPr>
                    <a:xfrm>
                      <a:off x="0" y="0"/>
                      <a:ext cx="5613400" cy="7817485"/>
                    </a:xfrm>
                    <a:prstGeom prst="rect">
                      <a:avLst/>
                    </a:prstGeom>
                  </pic:spPr>
                </pic:pic>
              </a:graphicData>
            </a:graphic>
          </wp:inline>
        </w:drawing>
      </w:r>
    </w:p>
    <w:p w14:paraId="0C7EF10F">
      <w:pPr>
        <w:pStyle w:val="88"/>
        <w:rPr>
          <w:rFonts w:hint="eastAsia" w:eastAsia="黑体"/>
          <w:lang w:eastAsia="zh-CN"/>
        </w:rPr>
        <w:sectPr>
          <w:pgSz w:w="11906" w:h="16838"/>
          <w:pgMar w:top="1701" w:right="1531" w:bottom="1701" w:left="1531" w:header="851" w:footer="1077" w:gutter="0"/>
          <w:cols w:space="720" w:num="1"/>
          <w:docGrid w:linePitch="312" w:charSpace="0"/>
        </w:sectPr>
      </w:pPr>
      <w:r>
        <w:rPr>
          <w:rFonts w:hint="eastAsia" w:eastAsia="黑体"/>
          <w:lang w:eastAsia="zh-CN"/>
        </w:rPr>
        <w:drawing>
          <wp:inline distT="0" distB="0" distL="114300" distR="114300">
            <wp:extent cx="4829175" cy="6834505"/>
            <wp:effectExtent l="0" t="0" r="1905" b="8255"/>
            <wp:docPr id="49" name="图片 49" descr="DOC5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OC503_01"/>
                    <pic:cNvPicPr>
                      <a:picLocks noChangeAspect="1"/>
                    </pic:cNvPicPr>
                  </pic:nvPicPr>
                  <pic:blipFill>
                    <a:blip r:embed="rId10"/>
                    <a:stretch>
                      <a:fillRect/>
                    </a:stretch>
                  </pic:blipFill>
                  <pic:spPr>
                    <a:xfrm>
                      <a:off x="0" y="0"/>
                      <a:ext cx="4829175" cy="6834505"/>
                    </a:xfrm>
                    <a:prstGeom prst="rect">
                      <a:avLst/>
                    </a:prstGeom>
                  </pic:spPr>
                </pic:pic>
              </a:graphicData>
            </a:graphic>
          </wp:inline>
        </w:drawing>
      </w:r>
    </w:p>
    <w:p w14:paraId="24A4ED3B">
      <w:pPr>
        <w:pStyle w:val="88"/>
        <w:rPr>
          <w:rFonts w:hint="eastAsia" w:eastAsia="黑体"/>
          <w:lang w:eastAsia="zh-CN"/>
        </w:rPr>
        <w:sectPr>
          <w:pgSz w:w="11906" w:h="16838"/>
          <w:pgMar w:top="1701" w:right="1531" w:bottom="1701" w:left="1531" w:header="851" w:footer="1077" w:gutter="0"/>
          <w:cols w:space="720" w:num="1"/>
          <w:docGrid w:linePitch="312" w:charSpace="0"/>
        </w:sectPr>
      </w:pPr>
      <w:r>
        <w:rPr>
          <w:rFonts w:hint="eastAsia" w:eastAsia="黑体"/>
          <w:lang w:eastAsia="zh-CN"/>
        </w:rPr>
        <w:drawing>
          <wp:inline distT="0" distB="0" distL="114300" distR="114300">
            <wp:extent cx="5429250" cy="7572375"/>
            <wp:effectExtent l="0" t="0" r="11430" b="1905"/>
            <wp:docPr id="50" name="图片 50" descr="李振华环评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李振华环评证书_00"/>
                    <pic:cNvPicPr>
                      <a:picLocks noChangeAspect="1"/>
                    </pic:cNvPicPr>
                  </pic:nvPicPr>
                  <pic:blipFill>
                    <a:blip r:embed="rId11"/>
                    <a:stretch>
                      <a:fillRect/>
                    </a:stretch>
                  </pic:blipFill>
                  <pic:spPr>
                    <a:xfrm>
                      <a:off x="0" y="0"/>
                      <a:ext cx="5429250" cy="7572375"/>
                    </a:xfrm>
                    <a:prstGeom prst="rect">
                      <a:avLst/>
                    </a:prstGeom>
                  </pic:spPr>
                </pic:pic>
              </a:graphicData>
            </a:graphic>
          </wp:inline>
        </w:drawing>
      </w:r>
    </w:p>
    <w:p w14:paraId="6F83532A">
      <w:pPr>
        <w:pStyle w:val="88"/>
        <w:rPr>
          <w:rFonts w:hint="eastAsia" w:eastAsia="黑体"/>
          <w:lang w:eastAsia="zh-CN"/>
        </w:rPr>
        <w:sectPr>
          <w:pgSz w:w="11906" w:h="16838"/>
          <w:pgMar w:top="1701" w:right="1531" w:bottom="1701" w:left="1531" w:header="851" w:footer="1077" w:gutter="0"/>
          <w:cols w:space="720" w:num="1"/>
          <w:docGrid w:linePitch="312" w:charSpace="0"/>
        </w:sectPr>
      </w:pPr>
      <w:r>
        <w:rPr>
          <w:rFonts w:hint="eastAsia" w:eastAsia="黑体"/>
          <w:lang w:eastAsia="zh-CN"/>
        </w:rPr>
        <w:drawing>
          <wp:inline distT="0" distB="0" distL="114300" distR="114300">
            <wp:extent cx="5918835" cy="8401050"/>
            <wp:effectExtent l="0" t="0" r="9525" b="11430"/>
            <wp:docPr id="51" name="图片 51" descr="李振华10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李振华10月_00"/>
                    <pic:cNvPicPr>
                      <a:picLocks noChangeAspect="1"/>
                    </pic:cNvPicPr>
                  </pic:nvPicPr>
                  <pic:blipFill>
                    <a:blip r:embed="rId12"/>
                    <a:stretch>
                      <a:fillRect/>
                    </a:stretch>
                  </pic:blipFill>
                  <pic:spPr>
                    <a:xfrm>
                      <a:off x="0" y="0"/>
                      <a:ext cx="5918835" cy="8401050"/>
                    </a:xfrm>
                    <a:prstGeom prst="rect">
                      <a:avLst/>
                    </a:prstGeom>
                  </pic:spPr>
                </pic:pic>
              </a:graphicData>
            </a:graphic>
          </wp:inline>
        </w:drawing>
      </w:r>
      <w:r>
        <w:rPr>
          <w:rFonts w:hint="eastAsia" w:eastAsia="黑体"/>
          <w:lang w:eastAsia="zh-CN"/>
        </w:rPr>
        <w:drawing>
          <wp:inline distT="0" distB="0" distL="114300" distR="114300">
            <wp:extent cx="5613400" cy="7936230"/>
            <wp:effectExtent l="0" t="0" r="10160" b="3810"/>
            <wp:docPr id="52" name="图片 52" descr="李振华10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李振华10月_01"/>
                    <pic:cNvPicPr>
                      <a:picLocks noChangeAspect="1"/>
                    </pic:cNvPicPr>
                  </pic:nvPicPr>
                  <pic:blipFill>
                    <a:blip r:embed="rId13"/>
                    <a:stretch>
                      <a:fillRect/>
                    </a:stretch>
                  </pic:blipFill>
                  <pic:spPr>
                    <a:xfrm>
                      <a:off x="0" y="0"/>
                      <a:ext cx="5613400" cy="7936230"/>
                    </a:xfrm>
                    <a:prstGeom prst="rect">
                      <a:avLst/>
                    </a:prstGeom>
                  </pic:spPr>
                </pic:pic>
              </a:graphicData>
            </a:graphic>
          </wp:inline>
        </w:drawing>
      </w:r>
    </w:p>
    <w:p w14:paraId="77DB90DD">
      <w:pPr>
        <w:pStyle w:val="88"/>
        <w:rPr>
          <w:rFonts w:hint="eastAsia" w:eastAsia="黑体"/>
          <w:lang w:eastAsia="zh-CN"/>
        </w:rPr>
        <w:sectPr>
          <w:pgSz w:w="11906" w:h="16838"/>
          <w:pgMar w:top="1701" w:right="1531" w:bottom="1701" w:left="1531" w:header="851" w:footer="1077" w:gutter="0"/>
          <w:cols w:space="720" w:num="1"/>
          <w:docGrid w:linePitch="312" w:charSpace="0"/>
        </w:sectPr>
      </w:pPr>
      <w:r>
        <w:rPr>
          <w:rFonts w:hint="eastAsia" w:eastAsia="黑体"/>
          <w:lang w:eastAsia="zh-CN"/>
        </w:rPr>
        <w:drawing>
          <wp:inline distT="0" distB="0" distL="114300" distR="114300">
            <wp:extent cx="5615305" cy="8019415"/>
            <wp:effectExtent l="0" t="0" r="8255" b="12065"/>
            <wp:docPr id="53" name="图片 53" descr="20240320河南蓝天营业执照副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0240320河南蓝天营业执照副本_00"/>
                    <pic:cNvPicPr>
                      <a:picLocks noChangeAspect="1"/>
                    </pic:cNvPicPr>
                  </pic:nvPicPr>
                  <pic:blipFill>
                    <a:blip r:embed="rId14"/>
                    <a:stretch>
                      <a:fillRect/>
                    </a:stretch>
                  </pic:blipFill>
                  <pic:spPr>
                    <a:xfrm>
                      <a:off x="0" y="0"/>
                      <a:ext cx="5615305" cy="8019415"/>
                    </a:xfrm>
                    <a:prstGeom prst="rect">
                      <a:avLst/>
                    </a:prstGeom>
                  </pic:spPr>
                </pic:pic>
              </a:graphicData>
            </a:graphic>
          </wp:inline>
        </w:drawing>
      </w:r>
    </w:p>
    <w:p w14:paraId="0A1D1216">
      <w:pPr>
        <w:pStyle w:val="88"/>
      </w:pPr>
      <w:r>
        <w:rPr>
          <w:rFonts w:hint="eastAsia"/>
        </w:rPr>
        <w:t>一、建设项目基本情况</w:t>
      </w:r>
    </w:p>
    <w:tbl>
      <w:tblPr>
        <w:tblStyle w:val="20"/>
        <w:tblW w:w="9493"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71"/>
        <w:gridCol w:w="2552"/>
        <w:gridCol w:w="1984"/>
        <w:gridCol w:w="3686"/>
      </w:tblGrid>
      <w:tr w14:paraId="10201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481DFE6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8222" w:type="dxa"/>
            <w:gridSpan w:val="3"/>
            <w:vAlign w:val="center"/>
          </w:tcPr>
          <w:p w14:paraId="41B677D6">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年加工2000吨再生塑料颗粒技术改造项目</w:t>
            </w:r>
          </w:p>
        </w:tc>
      </w:tr>
      <w:tr w14:paraId="69A52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3A27AE5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w:t>
            </w:r>
          </w:p>
        </w:tc>
        <w:tc>
          <w:tcPr>
            <w:tcW w:w="8222" w:type="dxa"/>
            <w:gridSpan w:val="3"/>
            <w:vAlign w:val="center"/>
          </w:tcPr>
          <w:p w14:paraId="1F570D47">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新乡市嘉福宝科技有限公司</w:t>
            </w:r>
          </w:p>
        </w:tc>
      </w:tr>
      <w:tr w14:paraId="161AF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006D4AB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8222" w:type="dxa"/>
            <w:gridSpan w:val="3"/>
            <w:vAlign w:val="center"/>
          </w:tcPr>
          <w:p w14:paraId="7BD7851F">
            <w:pPr>
              <w:adjustRightInd w:val="0"/>
              <w:snapToGrid w:val="0"/>
              <w:jc w:val="center"/>
              <w:rPr>
                <w:color w:val="FF0000"/>
                <w:sz w:val="24"/>
              </w:rPr>
            </w:pPr>
          </w:p>
        </w:tc>
      </w:tr>
      <w:tr w14:paraId="05825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246DE4E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552" w:type="dxa"/>
            <w:vAlign w:val="center"/>
          </w:tcPr>
          <w:p w14:paraId="26F467AA">
            <w:pPr>
              <w:adjustRightInd w:val="0"/>
              <w:snapToGrid w:val="0"/>
              <w:jc w:val="center"/>
              <w:rPr>
                <w:sz w:val="24"/>
              </w:rPr>
            </w:pPr>
          </w:p>
        </w:tc>
        <w:tc>
          <w:tcPr>
            <w:tcW w:w="1984" w:type="dxa"/>
            <w:vAlign w:val="center"/>
          </w:tcPr>
          <w:p w14:paraId="09399923">
            <w:pPr>
              <w:adjustRightInd w:val="0"/>
              <w:snapToGrid w:val="0"/>
              <w:jc w:val="center"/>
              <w:rPr>
                <w:sz w:val="24"/>
              </w:rPr>
            </w:pPr>
            <w:r>
              <w:rPr>
                <w:sz w:val="24"/>
              </w:rPr>
              <w:t>联系方式</w:t>
            </w:r>
          </w:p>
        </w:tc>
        <w:tc>
          <w:tcPr>
            <w:tcW w:w="3686" w:type="dxa"/>
            <w:vAlign w:val="center"/>
          </w:tcPr>
          <w:p w14:paraId="01B485EC">
            <w:pPr>
              <w:adjustRightInd w:val="0"/>
              <w:snapToGrid w:val="0"/>
              <w:jc w:val="center"/>
              <w:rPr>
                <w:sz w:val="24"/>
              </w:rPr>
            </w:pPr>
          </w:p>
        </w:tc>
      </w:tr>
      <w:tr w14:paraId="507F3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7443D73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法人代表</w:t>
            </w:r>
          </w:p>
        </w:tc>
        <w:tc>
          <w:tcPr>
            <w:tcW w:w="8222" w:type="dxa"/>
            <w:gridSpan w:val="3"/>
            <w:vAlign w:val="center"/>
          </w:tcPr>
          <w:p w14:paraId="69A3EB1A">
            <w:pPr>
              <w:adjustRightInd w:val="0"/>
              <w:snapToGrid w:val="0"/>
              <w:jc w:val="center"/>
              <w:rPr>
                <w:color w:val="FF0000"/>
                <w:sz w:val="24"/>
              </w:rPr>
            </w:pPr>
          </w:p>
        </w:tc>
      </w:tr>
      <w:tr w14:paraId="50571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3AF582F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8222" w:type="dxa"/>
            <w:gridSpan w:val="3"/>
            <w:vAlign w:val="center"/>
          </w:tcPr>
          <w:p w14:paraId="77AD59B3">
            <w:pPr>
              <w:adjustRightInd w:val="0"/>
              <w:snapToGrid w:val="0"/>
              <w:jc w:val="center"/>
              <w:rPr>
                <w:sz w:val="24"/>
              </w:rPr>
            </w:pPr>
            <w:r>
              <w:rPr>
                <w:rFonts w:hint="eastAsia"/>
                <w:sz w:val="24"/>
              </w:rPr>
              <w:t>河南省新乡市获嘉县仁爱路与新华街南段交叉口西北产业集聚区二期</w:t>
            </w:r>
            <w:r>
              <w:rPr>
                <w:sz w:val="24"/>
              </w:rPr>
              <w:t>1</w:t>
            </w:r>
            <w:r>
              <w:rPr>
                <w:rFonts w:hint="eastAsia"/>
                <w:sz w:val="24"/>
              </w:rPr>
              <w:t>号</w:t>
            </w:r>
          </w:p>
        </w:tc>
      </w:tr>
      <w:tr w14:paraId="301D7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37DDB19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8222" w:type="dxa"/>
            <w:gridSpan w:val="3"/>
            <w:vAlign w:val="center"/>
          </w:tcPr>
          <w:p w14:paraId="4EF1DFA4">
            <w:pPr>
              <w:jc w:val="center"/>
              <w:rPr>
                <w:sz w:val="24"/>
              </w:rPr>
            </w:pPr>
            <w:r>
              <w:rPr>
                <w:sz w:val="24"/>
              </w:rPr>
              <w:t>（</w:t>
            </w:r>
            <w:r>
              <w:rPr>
                <w:sz w:val="24"/>
                <w:u w:val="single"/>
              </w:rPr>
              <w:t xml:space="preserve"> 113 </w:t>
            </w:r>
            <w:r>
              <w:rPr>
                <w:sz w:val="24"/>
              </w:rPr>
              <w:t>度</w:t>
            </w:r>
            <w:r>
              <w:rPr>
                <w:sz w:val="24"/>
                <w:u w:val="single"/>
              </w:rPr>
              <w:t xml:space="preserve"> 39 </w:t>
            </w:r>
            <w:r>
              <w:rPr>
                <w:sz w:val="24"/>
              </w:rPr>
              <w:t>分</w:t>
            </w:r>
            <w:r>
              <w:rPr>
                <w:sz w:val="24"/>
                <w:u w:val="single"/>
              </w:rPr>
              <w:t xml:space="preserve"> 8.430 </w:t>
            </w:r>
            <w:r>
              <w:rPr>
                <w:sz w:val="24"/>
              </w:rPr>
              <w:t>秒，</w:t>
            </w:r>
            <w:r>
              <w:rPr>
                <w:sz w:val="24"/>
                <w:u w:val="single"/>
              </w:rPr>
              <w:t xml:space="preserve"> 35 </w:t>
            </w:r>
            <w:r>
              <w:rPr>
                <w:sz w:val="24"/>
              </w:rPr>
              <w:t>度</w:t>
            </w:r>
            <w:r>
              <w:rPr>
                <w:sz w:val="24"/>
                <w:u w:val="single"/>
              </w:rPr>
              <w:t xml:space="preserve"> 14 </w:t>
            </w:r>
            <w:r>
              <w:rPr>
                <w:sz w:val="24"/>
              </w:rPr>
              <w:t>分</w:t>
            </w:r>
            <w:r>
              <w:rPr>
                <w:sz w:val="24"/>
                <w:u w:val="single"/>
              </w:rPr>
              <w:t xml:space="preserve"> 37.194 </w:t>
            </w:r>
            <w:r>
              <w:rPr>
                <w:sz w:val="24"/>
              </w:rPr>
              <w:t>秒）</w:t>
            </w:r>
          </w:p>
        </w:tc>
      </w:tr>
      <w:tr w14:paraId="32E35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271" w:type="dxa"/>
            <w:tcMar>
              <w:top w:w="16" w:type="dxa"/>
              <w:left w:w="16" w:type="dxa"/>
              <w:right w:w="16" w:type="dxa"/>
            </w:tcMar>
            <w:vAlign w:val="center"/>
          </w:tcPr>
          <w:p w14:paraId="75D8BA3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166DEE1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552" w:type="dxa"/>
            <w:vAlign w:val="center"/>
          </w:tcPr>
          <w:p w14:paraId="615FF581">
            <w:pPr>
              <w:jc w:val="center"/>
              <w:rPr>
                <w:sz w:val="24"/>
              </w:rPr>
            </w:pPr>
            <w:r>
              <w:rPr>
                <w:sz w:val="24"/>
              </w:rPr>
              <w:t>C2929</w:t>
            </w:r>
            <w:r>
              <w:rPr>
                <w:rFonts w:hint="eastAsia"/>
                <w:sz w:val="24"/>
              </w:rPr>
              <w:t>塑料零件及其他塑料制品制造</w:t>
            </w:r>
          </w:p>
          <w:p w14:paraId="12547F51">
            <w:pPr>
              <w:jc w:val="center"/>
            </w:pPr>
            <w:r>
              <w:rPr>
                <w:rFonts w:hint="eastAsia"/>
                <w:sz w:val="24"/>
              </w:rPr>
              <w:t>C</w:t>
            </w:r>
            <w:r>
              <w:rPr>
                <w:sz w:val="24"/>
              </w:rPr>
              <w:t>4220</w:t>
            </w:r>
            <w:r>
              <w:rPr>
                <w:rFonts w:hint="eastAsia"/>
                <w:sz w:val="24"/>
              </w:rPr>
              <w:t>非金属废料和碎屑加工处理</w:t>
            </w:r>
          </w:p>
        </w:tc>
        <w:tc>
          <w:tcPr>
            <w:tcW w:w="1984" w:type="dxa"/>
            <w:vAlign w:val="center"/>
          </w:tcPr>
          <w:p w14:paraId="4EA5036B">
            <w:pPr>
              <w:jc w:val="center"/>
              <w:rPr>
                <w:sz w:val="24"/>
              </w:rPr>
            </w:pPr>
            <w:bookmarkStart w:id="0" w:name="_Hlk49843745"/>
            <w:r>
              <w:rPr>
                <w:sz w:val="24"/>
              </w:rPr>
              <w:t>建设项目</w:t>
            </w:r>
          </w:p>
          <w:p w14:paraId="2B80F42B">
            <w:pPr>
              <w:jc w:val="center"/>
              <w:rPr>
                <w:sz w:val="24"/>
              </w:rPr>
            </w:pPr>
            <w:r>
              <w:rPr>
                <w:sz w:val="24"/>
              </w:rPr>
              <w:t>行业类别</w:t>
            </w:r>
            <w:bookmarkEnd w:id="0"/>
          </w:p>
        </w:tc>
        <w:tc>
          <w:tcPr>
            <w:tcW w:w="3686" w:type="dxa"/>
            <w:vAlign w:val="center"/>
          </w:tcPr>
          <w:p w14:paraId="30FA90AC">
            <w:pPr>
              <w:widowControl/>
              <w:rPr>
                <w:sz w:val="24"/>
              </w:rPr>
            </w:pPr>
            <w:r>
              <w:rPr>
                <w:rFonts w:hint="eastAsia"/>
                <w:sz w:val="24"/>
              </w:rPr>
              <w:t>二十六</w:t>
            </w:r>
            <w:r>
              <w:rPr>
                <w:sz w:val="24"/>
              </w:rPr>
              <w:t>、</w:t>
            </w:r>
            <w:r>
              <w:rPr>
                <w:rFonts w:hint="eastAsia"/>
                <w:sz w:val="24"/>
              </w:rPr>
              <w:t>“橡胶和塑料制品业 29”</w:t>
            </w:r>
            <w:r>
              <w:rPr>
                <w:sz w:val="24"/>
              </w:rPr>
              <w:t>：第53条</w:t>
            </w:r>
            <w:r>
              <w:rPr>
                <w:rFonts w:hint="eastAsia"/>
                <w:sz w:val="24"/>
              </w:rPr>
              <w:t>“塑料制品业 292”</w:t>
            </w:r>
          </w:p>
          <w:p w14:paraId="0D23D65D">
            <w:pPr>
              <w:widowControl/>
            </w:pPr>
            <w:r>
              <w:rPr>
                <w:rFonts w:hint="eastAsia"/>
                <w:sz w:val="24"/>
              </w:rPr>
              <w:t>三十九</w:t>
            </w:r>
            <w:r>
              <w:rPr>
                <w:sz w:val="24"/>
              </w:rPr>
              <w:t>、</w:t>
            </w:r>
            <w:r>
              <w:rPr>
                <w:rFonts w:hint="eastAsia"/>
                <w:sz w:val="24"/>
              </w:rPr>
              <w:t>“废弃资源综合利用业 42”</w:t>
            </w:r>
            <w:r>
              <w:rPr>
                <w:sz w:val="24"/>
              </w:rPr>
              <w:t>：第85条</w:t>
            </w:r>
            <w:r>
              <w:rPr>
                <w:rFonts w:hint="eastAsia"/>
                <w:sz w:val="24"/>
              </w:rPr>
              <w:t>“金属废料和碎屑加工处理421；非金属废料和碎屑加工处理422（421和422均不含原料为危险废物的，均不含仅分拣、破碎的）”</w:t>
            </w:r>
          </w:p>
        </w:tc>
      </w:tr>
      <w:tr w14:paraId="59E02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271" w:type="dxa"/>
            <w:tcMar>
              <w:top w:w="16" w:type="dxa"/>
              <w:left w:w="16" w:type="dxa"/>
              <w:right w:w="16" w:type="dxa"/>
            </w:tcMar>
            <w:vAlign w:val="center"/>
          </w:tcPr>
          <w:p w14:paraId="57BB1D2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552" w:type="dxa"/>
            <w:vAlign w:val="center"/>
          </w:tcPr>
          <w:p w14:paraId="405A24FA">
            <w:pPr>
              <w:rPr>
                <w:sz w:val="24"/>
              </w:rPr>
            </w:pPr>
            <w:r>
              <w:rPr>
                <w:rFonts w:hint="eastAsia" w:ascii="宋体" w:hAnsi="宋体" w:cs="宋体"/>
                <w:szCs w:val="21"/>
              </w:rPr>
              <w:t>□</w:t>
            </w:r>
            <w:r>
              <w:rPr>
                <w:sz w:val="24"/>
              </w:rPr>
              <w:t>新建（迁建）</w:t>
            </w:r>
          </w:p>
          <w:p w14:paraId="5D49736B">
            <w:pPr>
              <w:rPr>
                <w:sz w:val="24"/>
              </w:rPr>
            </w:pPr>
            <w:r>
              <w:rPr>
                <w:rFonts w:hint="eastAsia" w:ascii="宋体" w:hAnsi="宋体" w:cs="宋体"/>
                <w:szCs w:val="21"/>
              </w:rPr>
              <w:t>□</w:t>
            </w:r>
            <w:r>
              <w:rPr>
                <w:sz w:val="24"/>
              </w:rPr>
              <w:t>改建</w:t>
            </w:r>
          </w:p>
          <w:p w14:paraId="65DDBF96">
            <w:pPr>
              <w:rPr>
                <w:sz w:val="24"/>
              </w:rPr>
            </w:pPr>
            <w:r>
              <w:rPr>
                <w:sz w:val="24"/>
              </w:rPr>
              <w:sym w:font="Wingdings 2" w:char="0052"/>
            </w:r>
            <w:r>
              <w:rPr>
                <w:sz w:val="24"/>
              </w:rPr>
              <w:t>扩建</w:t>
            </w:r>
          </w:p>
          <w:p w14:paraId="070BD708">
            <w:pPr>
              <w:rPr>
                <w:sz w:val="24"/>
              </w:rPr>
            </w:pPr>
            <w:r>
              <w:rPr>
                <w:rFonts w:hint="eastAsia" w:ascii="宋体" w:hAnsi="宋体" w:cs="宋体"/>
                <w:szCs w:val="21"/>
              </w:rPr>
              <w:t>□</w:t>
            </w:r>
            <w:r>
              <w:rPr>
                <w:sz w:val="24"/>
              </w:rPr>
              <w:t>技术改造</w:t>
            </w:r>
          </w:p>
        </w:tc>
        <w:tc>
          <w:tcPr>
            <w:tcW w:w="1984" w:type="dxa"/>
            <w:vAlign w:val="center"/>
          </w:tcPr>
          <w:p w14:paraId="6C44F2D8">
            <w:pPr>
              <w:adjustRightInd w:val="0"/>
              <w:snapToGrid w:val="0"/>
              <w:jc w:val="center"/>
              <w:rPr>
                <w:sz w:val="24"/>
              </w:rPr>
            </w:pPr>
            <w:r>
              <w:rPr>
                <w:sz w:val="24"/>
              </w:rPr>
              <w:t>建设项目</w:t>
            </w:r>
          </w:p>
          <w:p w14:paraId="2C25375D">
            <w:pPr>
              <w:adjustRightInd w:val="0"/>
              <w:snapToGrid w:val="0"/>
              <w:jc w:val="center"/>
              <w:rPr>
                <w:sz w:val="24"/>
              </w:rPr>
            </w:pPr>
            <w:r>
              <w:rPr>
                <w:sz w:val="24"/>
              </w:rPr>
              <w:t>申报情形</w:t>
            </w:r>
          </w:p>
        </w:tc>
        <w:tc>
          <w:tcPr>
            <w:tcW w:w="3686" w:type="dxa"/>
            <w:vAlign w:val="center"/>
          </w:tcPr>
          <w:p w14:paraId="2AC9BE08">
            <w:pPr>
              <w:rPr>
                <w:sz w:val="24"/>
              </w:rPr>
            </w:pPr>
            <w:r>
              <w:rPr>
                <w:sz w:val="24"/>
              </w:rPr>
              <w:sym w:font="Wingdings 2" w:char="0052"/>
            </w:r>
            <w:r>
              <w:rPr>
                <w:sz w:val="24"/>
              </w:rPr>
              <w:t>首次申报项目</w:t>
            </w:r>
          </w:p>
          <w:p w14:paraId="188C0B2E">
            <w:pPr>
              <w:rPr>
                <w:sz w:val="24"/>
              </w:rPr>
            </w:pPr>
            <w:r>
              <w:rPr>
                <w:rFonts w:hint="eastAsia" w:ascii="宋体" w:hAnsi="宋体" w:cs="宋体"/>
                <w:szCs w:val="21"/>
              </w:rPr>
              <w:t>□</w:t>
            </w:r>
            <w:r>
              <w:rPr>
                <w:sz w:val="24"/>
              </w:rPr>
              <w:t>不予批准后再次申报项目</w:t>
            </w:r>
          </w:p>
          <w:p w14:paraId="4F95A81F">
            <w:pPr>
              <w:rPr>
                <w:sz w:val="24"/>
              </w:rPr>
            </w:pPr>
            <w:r>
              <w:rPr>
                <w:rFonts w:hint="eastAsia" w:ascii="宋体" w:hAnsi="宋体" w:cs="宋体"/>
                <w:szCs w:val="21"/>
              </w:rPr>
              <w:t>□</w:t>
            </w:r>
            <w:r>
              <w:rPr>
                <w:sz w:val="24"/>
              </w:rPr>
              <w:t>超五年重新审核项目</w:t>
            </w:r>
          </w:p>
          <w:p w14:paraId="3B5F80E2">
            <w:pPr>
              <w:rPr>
                <w:sz w:val="24"/>
              </w:rPr>
            </w:pPr>
            <w:r>
              <w:rPr>
                <w:rFonts w:hint="eastAsia" w:ascii="宋体" w:hAnsi="宋体" w:cs="宋体"/>
                <w:szCs w:val="21"/>
              </w:rPr>
              <w:t>□</w:t>
            </w:r>
            <w:r>
              <w:rPr>
                <w:sz w:val="24"/>
              </w:rPr>
              <w:t>重大变动重新报批项目</w:t>
            </w:r>
          </w:p>
        </w:tc>
      </w:tr>
      <w:tr w14:paraId="16B40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271" w:type="dxa"/>
            <w:tcMar>
              <w:top w:w="16" w:type="dxa"/>
              <w:left w:w="16" w:type="dxa"/>
              <w:right w:w="16" w:type="dxa"/>
            </w:tcMar>
            <w:vAlign w:val="center"/>
          </w:tcPr>
          <w:p w14:paraId="08257D5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2552" w:type="dxa"/>
            <w:vAlign w:val="center"/>
          </w:tcPr>
          <w:p w14:paraId="21472E48">
            <w:pPr>
              <w:adjustRightInd w:val="0"/>
              <w:snapToGrid w:val="0"/>
              <w:jc w:val="center"/>
              <w:rPr>
                <w:sz w:val="24"/>
              </w:rPr>
            </w:pPr>
            <w:r>
              <w:rPr>
                <w:rFonts w:hint="eastAsia"/>
                <w:sz w:val="24"/>
              </w:rPr>
              <w:t>获嘉县</w:t>
            </w:r>
            <w:r>
              <w:rPr>
                <w:sz w:val="24"/>
              </w:rPr>
              <w:t>发展和改革委员会</w:t>
            </w:r>
          </w:p>
        </w:tc>
        <w:tc>
          <w:tcPr>
            <w:tcW w:w="1984" w:type="dxa"/>
            <w:vAlign w:val="center"/>
          </w:tcPr>
          <w:p w14:paraId="42C73D4C">
            <w:pPr>
              <w:adjustRightInd w:val="0"/>
              <w:snapToGrid w:val="0"/>
              <w:jc w:val="center"/>
              <w:rPr>
                <w:sz w:val="24"/>
              </w:rPr>
            </w:pPr>
            <w:r>
              <w:rPr>
                <w:sz w:val="24"/>
              </w:rPr>
              <w:t>项目审批（核准/备案）文号（选填）</w:t>
            </w:r>
          </w:p>
        </w:tc>
        <w:tc>
          <w:tcPr>
            <w:tcW w:w="3686" w:type="dxa"/>
            <w:vAlign w:val="center"/>
          </w:tcPr>
          <w:p w14:paraId="70876ED6">
            <w:pPr>
              <w:adjustRightInd w:val="0"/>
              <w:snapToGrid w:val="0"/>
              <w:jc w:val="center"/>
              <w:rPr>
                <w:sz w:val="24"/>
              </w:rPr>
            </w:pPr>
            <w:r>
              <w:rPr>
                <w:sz w:val="24"/>
              </w:rPr>
              <w:t>/</w:t>
            </w:r>
          </w:p>
        </w:tc>
      </w:tr>
      <w:tr w14:paraId="705E3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14623813">
            <w:pPr>
              <w:adjustRightInd w:val="0"/>
              <w:snapToGrid w:val="0"/>
              <w:jc w:val="center"/>
              <w:rPr>
                <w:sz w:val="24"/>
              </w:rPr>
            </w:pPr>
            <w:r>
              <w:rPr>
                <w:sz w:val="24"/>
              </w:rPr>
              <w:t>总投资（万元）</w:t>
            </w:r>
          </w:p>
        </w:tc>
        <w:tc>
          <w:tcPr>
            <w:tcW w:w="2552" w:type="dxa"/>
            <w:vAlign w:val="center"/>
          </w:tcPr>
          <w:p w14:paraId="170DEA4D">
            <w:pPr>
              <w:adjustRightInd w:val="0"/>
              <w:snapToGrid w:val="0"/>
              <w:jc w:val="center"/>
              <w:rPr>
                <w:sz w:val="24"/>
              </w:rPr>
            </w:pPr>
            <w:r>
              <w:rPr>
                <w:sz w:val="24"/>
              </w:rPr>
              <w:t>1000.00</w:t>
            </w:r>
          </w:p>
        </w:tc>
        <w:tc>
          <w:tcPr>
            <w:tcW w:w="1984" w:type="dxa"/>
            <w:tcMar>
              <w:top w:w="16" w:type="dxa"/>
              <w:left w:w="16" w:type="dxa"/>
              <w:right w:w="16" w:type="dxa"/>
            </w:tcMar>
            <w:vAlign w:val="center"/>
          </w:tcPr>
          <w:p w14:paraId="0BE244B2">
            <w:pPr>
              <w:adjustRightInd w:val="0"/>
              <w:snapToGrid w:val="0"/>
              <w:jc w:val="center"/>
              <w:rPr>
                <w:sz w:val="24"/>
              </w:rPr>
            </w:pPr>
            <w:r>
              <w:rPr>
                <w:sz w:val="24"/>
              </w:rPr>
              <w:t>环保投资（万元）</w:t>
            </w:r>
          </w:p>
        </w:tc>
        <w:tc>
          <w:tcPr>
            <w:tcW w:w="3686" w:type="dxa"/>
            <w:vAlign w:val="center"/>
          </w:tcPr>
          <w:p w14:paraId="02722767">
            <w:pPr>
              <w:adjustRightInd w:val="0"/>
              <w:snapToGrid w:val="0"/>
              <w:jc w:val="center"/>
              <w:rPr>
                <w:sz w:val="24"/>
              </w:rPr>
            </w:pPr>
            <w:r>
              <w:rPr>
                <w:sz w:val="24"/>
              </w:rPr>
              <w:t>50.00</w:t>
            </w:r>
          </w:p>
        </w:tc>
      </w:tr>
      <w:tr w14:paraId="47ADA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69D13F0A">
            <w:pPr>
              <w:adjustRightInd w:val="0"/>
              <w:snapToGrid w:val="0"/>
              <w:jc w:val="center"/>
              <w:rPr>
                <w:sz w:val="24"/>
              </w:rPr>
            </w:pPr>
            <w:r>
              <w:rPr>
                <w:sz w:val="24"/>
              </w:rPr>
              <w:t>环保投资占比（%）</w:t>
            </w:r>
          </w:p>
        </w:tc>
        <w:tc>
          <w:tcPr>
            <w:tcW w:w="2552" w:type="dxa"/>
            <w:vAlign w:val="center"/>
          </w:tcPr>
          <w:p w14:paraId="1B6C5B7F">
            <w:pPr>
              <w:adjustRightInd w:val="0"/>
              <w:snapToGrid w:val="0"/>
              <w:jc w:val="center"/>
              <w:rPr>
                <w:sz w:val="24"/>
              </w:rPr>
            </w:pPr>
            <w:r>
              <w:rPr>
                <w:sz w:val="24"/>
              </w:rPr>
              <w:t>5.0%</w:t>
            </w:r>
          </w:p>
        </w:tc>
        <w:tc>
          <w:tcPr>
            <w:tcW w:w="1984" w:type="dxa"/>
            <w:tcMar>
              <w:top w:w="16" w:type="dxa"/>
              <w:left w:w="16" w:type="dxa"/>
              <w:right w:w="16" w:type="dxa"/>
            </w:tcMar>
            <w:vAlign w:val="center"/>
          </w:tcPr>
          <w:p w14:paraId="26FECA17">
            <w:pPr>
              <w:adjustRightInd w:val="0"/>
              <w:snapToGrid w:val="0"/>
              <w:jc w:val="center"/>
              <w:rPr>
                <w:sz w:val="24"/>
              </w:rPr>
            </w:pPr>
            <w:r>
              <w:rPr>
                <w:sz w:val="24"/>
              </w:rPr>
              <w:t>施工工期</w:t>
            </w:r>
          </w:p>
        </w:tc>
        <w:tc>
          <w:tcPr>
            <w:tcW w:w="3686" w:type="dxa"/>
            <w:vAlign w:val="center"/>
          </w:tcPr>
          <w:p w14:paraId="179B9B9D">
            <w:pPr>
              <w:adjustRightInd w:val="0"/>
              <w:snapToGrid w:val="0"/>
              <w:jc w:val="center"/>
              <w:rPr>
                <w:sz w:val="24"/>
              </w:rPr>
            </w:pPr>
            <w:r>
              <w:rPr>
                <w:sz w:val="24"/>
              </w:rPr>
              <w:t>202</w:t>
            </w:r>
            <w:r>
              <w:rPr>
                <w:rFonts w:hint="eastAsia"/>
                <w:sz w:val="24"/>
              </w:rPr>
              <w:t>5</w:t>
            </w:r>
            <w:r>
              <w:rPr>
                <w:sz w:val="24"/>
              </w:rPr>
              <w:t>年</w:t>
            </w:r>
            <w:r>
              <w:rPr>
                <w:rFonts w:hint="eastAsia"/>
                <w:sz w:val="24"/>
              </w:rPr>
              <w:t>3</w:t>
            </w:r>
            <w:r>
              <w:rPr>
                <w:sz w:val="24"/>
              </w:rPr>
              <w:t>月-202</w:t>
            </w:r>
            <w:r>
              <w:rPr>
                <w:rFonts w:hint="eastAsia"/>
                <w:sz w:val="24"/>
              </w:rPr>
              <w:t>5</w:t>
            </w:r>
            <w:r>
              <w:rPr>
                <w:sz w:val="24"/>
              </w:rPr>
              <w:t>年</w:t>
            </w:r>
            <w:r>
              <w:rPr>
                <w:rFonts w:hint="eastAsia"/>
                <w:sz w:val="24"/>
              </w:rPr>
              <w:t>6</w:t>
            </w:r>
            <w:r>
              <w:rPr>
                <w:sz w:val="24"/>
              </w:rPr>
              <w:t>月</w:t>
            </w:r>
          </w:p>
        </w:tc>
      </w:tr>
      <w:tr w14:paraId="2550E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71" w:type="dxa"/>
            <w:tcMar>
              <w:top w:w="16" w:type="dxa"/>
              <w:left w:w="16" w:type="dxa"/>
              <w:right w:w="16" w:type="dxa"/>
            </w:tcMar>
            <w:vAlign w:val="center"/>
          </w:tcPr>
          <w:p w14:paraId="6BC2A73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552" w:type="dxa"/>
            <w:vAlign w:val="center"/>
          </w:tcPr>
          <w:p w14:paraId="2597004B">
            <w:pPr>
              <w:adjustRightInd w:val="0"/>
              <w:snapToGrid w:val="0"/>
              <w:jc w:val="left"/>
              <w:rPr>
                <w:color w:val="000000" w:themeColor="text1"/>
                <w:sz w:val="24"/>
                <w14:textFill>
                  <w14:solidFill>
                    <w14:schemeClr w14:val="tx1"/>
                  </w14:solidFill>
                </w14:textFill>
              </w:rPr>
            </w:pPr>
            <w:r>
              <w:rPr>
                <w:rFonts w:hint="eastAsia" w:ascii="Segoe UI Symbol" w:hAnsi="Segoe UI Symbol"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否</w:t>
            </w:r>
          </w:p>
          <w:p w14:paraId="2CF30002">
            <w:pPr>
              <w:adjustRightInd w:val="0"/>
              <w:snapToGrid w:val="0"/>
              <w:jc w:val="left"/>
              <w:rPr>
                <w:color w:val="000000" w:themeColor="text1"/>
                <w:sz w:val="24"/>
                <w14:textFill>
                  <w14:solidFill>
                    <w14:schemeClr w14:val="tx1"/>
                  </w14:solidFill>
                </w14:textFill>
              </w:rPr>
            </w:pPr>
            <w:r>
              <w:rPr>
                <w:rFonts w:hint="eastAsia" w:ascii="Segoe UI Symbol" w:hAnsi="Segoe UI Symbol"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1984" w:type="dxa"/>
            <w:tcMar>
              <w:top w:w="16" w:type="dxa"/>
              <w:left w:w="16" w:type="dxa"/>
              <w:right w:w="16" w:type="dxa"/>
            </w:tcMar>
            <w:vAlign w:val="center"/>
          </w:tcPr>
          <w:p w14:paraId="01542080">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14:paraId="136F84D3">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686" w:type="dxa"/>
            <w:vAlign w:val="center"/>
          </w:tcPr>
          <w:p w14:paraId="38476094">
            <w:pPr>
              <w:adjustRightInd w:val="0"/>
              <w:snapToGrid w:val="0"/>
              <w:jc w:val="center"/>
              <w:rPr>
                <w:color w:val="000000" w:themeColor="text1"/>
                <w:sz w:val="24"/>
                <w14:textFill>
                  <w14:solidFill>
                    <w14:schemeClr w14:val="tx1"/>
                  </w14:solidFill>
                </w14:textFill>
              </w:rPr>
            </w:pPr>
            <w:r>
              <w:rPr>
                <w:sz w:val="24"/>
              </w:rPr>
              <w:t>3000</w:t>
            </w:r>
            <w:r>
              <w:rPr>
                <w:rFonts w:hint="eastAsia"/>
                <w:sz w:val="24"/>
              </w:rPr>
              <w:t>（新增）</w:t>
            </w:r>
          </w:p>
        </w:tc>
      </w:tr>
      <w:tr w14:paraId="3CA55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271" w:type="dxa"/>
            <w:vAlign w:val="center"/>
          </w:tcPr>
          <w:p w14:paraId="2D013960">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8222" w:type="dxa"/>
            <w:gridSpan w:val="3"/>
            <w:vAlign w:val="center"/>
          </w:tcPr>
          <w:p w14:paraId="2302E7FA">
            <w:pPr>
              <w:pStyle w:val="67"/>
              <w:ind w:firstLine="480"/>
            </w:pPr>
            <w:r>
              <w:t xml:space="preserve">         与专项评价设置原则对比一览表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3977"/>
              <w:gridCol w:w="2856"/>
            </w:tblGrid>
            <w:tr w14:paraId="41AEE82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3" w:type="dxa"/>
                  <w:vAlign w:val="center"/>
                </w:tcPr>
                <w:p w14:paraId="418A1BF7">
                  <w:pPr>
                    <w:pStyle w:val="86"/>
                    <w:rPr>
                      <w:b/>
                      <w:bCs w:val="0"/>
                    </w:rPr>
                  </w:pPr>
                  <w:r>
                    <w:rPr>
                      <w:rFonts w:hint="eastAsia"/>
                      <w:b/>
                      <w:bCs w:val="0"/>
                    </w:rPr>
                    <w:t>专项评价的类别</w:t>
                  </w:r>
                </w:p>
              </w:tc>
              <w:tc>
                <w:tcPr>
                  <w:tcW w:w="3977" w:type="dxa"/>
                  <w:vAlign w:val="center"/>
                </w:tcPr>
                <w:p w14:paraId="6A5FAAC5">
                  <w:pPr>
                    <w:pStyle w:val="86"/>
                    <w:rPr>
                      <w:b/>
                      <w:bCs w:val="0"/>
                    </w:rPr>
                  </w:pPr>
                  <w:r>
                    <w:rPr>
                      <w:rFonts w:hint="eastAsia"/>
                      <w:b/>
                      <w:bCs w:val="0"/>
                    </w:rPr>
                    <w:t>设置原则</w:t>
                  </w:r>
                </w:p>
              </w:tc>
              <w:tc>
                <w:tcPr>
                  <w:tcW w:w="2856" w:type="dxa"/>
                  <w:vAlign w:val="center"/>
                </w:tcPr>
                <w:p w14:paraId="732731D0">
                  <w:pPr>
                    <w:pStyle w:val="86"/>
                    <w:rPr>
                      <w:b/>
                      <w:bCs w:val="0"/>
                    </w:rPr>
                  </w:pPr>
                  <w:r>
                    <w:rPr>
                      <w:rFonts w:hint="eastAsia"/>
                      <w:b/>
                      <w:bCs w:val="0"/>
                    </w:rPr>
                    <w:t>与本项目对比</w:t>
                  </w:r>
                </w:p>
              </w:tc>
            </w:tr>
            <w:tr w14:paraId="4495CF0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3" w:type="dxa"/>
                  <w:vAlign w:val="center"/>
                </w:tcPr>
                <w:p w14:paraId="6E0C25A8">
                  <w:pPr>
                    <w:pStyle w:val="8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w:t>
                  </w:r>
                </w:p>
              </w:tc>
              <w:tc>
                <w:tcPr>
                  <w:tcW w:w="3977" w:type="dxa"/>
                  <w:vAlign w:val="center"/>
                </w:tcPr>
                <w:p w14:paraId="630D9EE8">
                  <w:pPr>
                    <w:pStyle w:val="8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排放废气含有毒有害污染物</w:t>
                  </w:r>
                  <w:r>
                    <w:rPr>
                      <w:color w:val="000000" w:themeColor="text1"/>
                      <w:szCs w:val="21"/>
                      <w:vertAlign w:val="superscript"/>
                      <w14:textFill>
                        <w14:solidFill>
                          <w14:schemeClr w14:val="tx1"/>
                        </w14:solidFill>
                      </w14:textFill>
                    </w:rPr>
                    <w:t>1</w:t>
                  </w:r>
                  <w:r>
                    <w:rPr>
                      <w:rFonts w:hint="eastAsia"/>
                      <w:color w:val="000000" w:themeColor="text1"/>
                      <w:szCs w:val="21"/>
                      <w14:textFill>
                        <w14:solidFill>
                          <w14:schemeClr w14:val="tx1"/>
                        </w14:solidFill>
                      </w14:textFill>
                    </w:rPr>
                    <w:t>、二噁英、苯并[</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芘、氰化物、氯气且厂界外</w:t>
                  </w:r>
                  <w:r>
                    <w:rPr>
                      <w:color w:val="000000" w:themeColor="text1"/>
                      <w:szCs w:val="21"/>
                      <w14:textFill>
                        <w14:solidFill>
                          <w14:schemeClr w14:val="tx1"/>
                        </w14:solidFill>
                      </w14:textFill>
                    </w:rPr>
                    <w:t>500</w:t>
                  </w:r>
                  <w:r>
                    <w:rPr>
                      <w:rFonts w:hint="eastAsia"/>
                      <w:color w:val="000000" w:themeColor="text1"/>
                      <w:szCs w:val="21"/>
                      <w14:textFill>
                        <w14:solidFill>
                          <w14:schemeClr w14:val="tx1"/>
                        </w14:solidFill>
                      </w14:textFill>
                    </w:rPr>
                    <w:t>米范围内有环境空气保护目标</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的建设项目</w:t>
                  </w:r>
                </w:p>
              </w:tc>
              <w:tc>
                <w:tcPr>
                  <w:tcW w:w="2856" w:type="dxa"/>
                  <w:vAlign w:val="center"/>
                </w:tcPr>
                <w:p w14:paraId="1C96144F">
                  <w:pPr>
                    <w:pStyle w:val="86"/>
                  </w:pPr>
                  <w:r>
                    <w:rPr>
                      <w:rFonts w:hint="eastAsia"/>
                    </w:rPr>
                    <w:t>本项目产生的废气为非甲烷总烃，不涉及</w:t>
                  </w:r>
                  <w:r>
                    <w:rPr>
                      <w:rFonts w:hint="eastAsia"/>
                      <w:color w:val="000000" w:themeColor="text1"/>
                      <w:szCs w:val="21"/>
                      <w14:textFill>
                        <w14:solidFill>
                          <w14:schemeClr w14:val="tx1"/>
                        </w14:solidFill>
                      </w14:textFill>
                    </w:rPr>
                    <w:t>含有毒有害污染物</w:t>
                  </w:r>
                  <w:r>
                    <w:rPr>
                      <w:color w:val="000000" w:themeColor="text1"/>
                      <w:szCs w:val="21"/>
                      <w:vertAlign w:val="superscript"/>
                      <w14:textFill>
                        <w14:solidFill>
                          <w14:schemeClr w14:val="tx1"/>
                        </w14:solidFill>
                      </w14:textFill>
                    </w:rPr>
                    <w:t>1</w:t>
                  </w:r>
                  <w:r>
                    <w:rPr>
                      <w:rFonts w:hint="eastAsia"/>
                      <w:color w:val="000000" w:themeColor="text1"/>
                      <w:szCs w:val="21"/>
                      <w14:textFill>
                        <w14:solidFill>
                          <w14:schemeClr w14:val="tx1"/>
                        </w14:solidFill>
                      </w14:textFill>
                    </w:rPr>
                    <w:t>、二噁英、苯并[</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芘、氰化物、氯气等</w:t>
                  </w:r>
                </w:p>
              </w:tc>
            </w:tr>
            <w:tr w14:paraId="419EFD7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3" w:type="dxa"/>
                  <w:vAlign w:val="center"/>
                </w:tcPr>
                <w:p w14:paraId="42330499">
                  <w:pPr>
                    <w:pStyle w:val="8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地表水</w:t>
                  </w:r>
                </w:p>
              </w:tc>
              <w:tc>
                <w:tcPr>
                  <w:tcW w:w="3977" w:type="dxa"/>
                  <w:vAlign w:val="center"/>
                </w:tcPr>
                <w:p w14:paraId="3A443401">
                  <w:pPr>
                    <w:pStyle w:val="86"/>
                  </w:pPr>
                  <w:r>
                    <w:rPr>
                      <w:rFonts w:hint="eastAsia"/>
                    </w:rPr>
                    <w:t>新增工业废水直排建设项目（槽罐车外送污水处理厂的除外）；新增废水直排的污水集中处理厂</w:t>
                  </w:r>
                </w:p>
              </w:tc>
              <w:tc>
                <w:tcPr>
                  <w:tcW w:w="2856" w:type="dxa"/>
                  <w:vAlign w:val="center"/>
                </w:tcPr>
                <w:p w14:paraId="658BDCB5">
                  <w:pPr>
                    <w:pStyle w:val="86"/>
                  </w:pPr>
                  <w:r>
                    <w:rPr>
                      <w:rFonts w:hint="eastAsia"/>
                    </w:rPr>
                    <w:t>本项目清洗废水经一体化污水处理站处理，生活污水经化粪池处理，最后一起经管网排入获嘉县香山家园污水处理厂进一步处理，处理后出水共产主义渠，属于间接排放。</w:t>
                  </w:r>
                </w:p>
              </w:tc>
            </w:tr>
            <w:tr w14:paraId="22DA468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3" w:type="dxa"/>
                  <w:vAlign w:val="center"/>
                </w:tcPr>
                <w:p w14:paraId="0B6FC0A4">
                  <w:pPr>
                    <w:pStyle w:val="8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w:t>
                  </w:r>
                </w:p>
              </w:tc>
              <w:tc>
                <w:tcPr>
                  <w:tcW w:w="3977" w:type="dxa"/>
                  <w:vAlign w:val="center"/>
                </w:tcPr>
                <w:p w14:paraId="593DFC57">
                  <w:pPr>
                    <w:pStyle w:val="86"/>
                  </w:pPr>
                  <w:r>
                    <w:rPr>
                      <w:rFonts w:hint="eastAsia"/>
                    </w:rPr>
                    <w:t>有毒有害和易燃易爆危险物质存储量超过临界量</w:t>
                  </w:r>
                  <w:r>
                    <w:rPr>
                      <w:vertAlign w:val="superscript"/>
                    </w:rPr>
                    <w:t>3</w:t>
                  </w:r>
                  <w:r>
                    <w:rPr>
                      <w:rFonts w:hint="eastAsia"/>
                    </w:rPr>
                    <w:t>的建设项目</w:t>
                  </w:r>
                </w:p>
              </w:tc>
              <w:tc>
                <w:tcPr>
                  <w:tcW w:w="2856" w:type="dxa"/>
                  <w:vAlign w:val="center"/>
                </w:tcPr>
                <w:p w14:paraId="3A066841">
                  <w:pPr>
                    <w:pStyle w:val="86"/>
                  </w:pPr>
                  <w:r>
                    <w:rPr>
                      <w:rFonts w:hint="eastAsia"/>
                    </w:rPr>
                    <w:t>本项目不涉及</w:t>
                  </w:r>
                </w:p>
              </w:tc>
            </w:tr>
            <w:tr w14:paraId="5A4BC29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3" w:type="dxa"/>
                  <w:vAlign w:val="center"/>
                </w:tcPr>
                <w:p w14:paraId="2ACF81E1">
                  <w:pPr>
                    <w:pStyle w:val="8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w:t>
                  </w:r>
                </w:p>
              </w:tc>
              <w:tc>
                <w:tcPr>
                  <w:tcW w:w="3977" w:type="dxa"/>
                  <w:vAlign w:val="center"/>
                </w:tcPr>
                <w:p w14:paraId="75B6655C">
                  <w:pPr>
                    <w:pStyle w:val="79"/>
                  </w:pPr>
                  <w:r>
                    <w:rPr>
                      <w:rFonts w:hint="eastAsia"/>
                    </w:rPr>
                    <w:t>取水口下游</w:t>
                  </w:r>
                  <w:r>
                    <w:t>500</w:t>
                  </w:r>
                  <w:r>
                    <w:rPr>
                      <w:rFonts w:hint="eastAsia"/>
                    </w:rPr>
                    <w:t>米范围内有重要水生生物的自然产卵场、索饵场、越冬场和洄游通道的新增河道取水的污染类建设项目</w:t>
                  </w:r>
                </w:p>
              </w:tc>
              <w:tc>
                <w:tcPr>
                  <w:tcW w:w="2856" w:type="dxa"/>
                  <w:vAlign w:val="center"/>
                </w:tcPr>
                <w:p w14:paraId="715B6558">
                  <w:pPr>
                    <w:pStyle w:val="86"/>
                  </w:pPr>
                  <w:r>
                    <w:rPr>
                      <w:rFonts w:hint="eastAsia"/>
                    </w:rPr>
                    <w:t>本项目不涉及</w:t>
                  </w:r>
                </w:p>
              </w:tc>
            </w:tr>
            <w:tr w14:paraId="2E54E94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3" w:type="dxa"/>
                  <w:vAlign w:val="center"/>
                </w:tcPr>
                <w:p w14:paraId="27755B7F">
                  <w:pPr>
                    <w:pStyle w:val="8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海洋</w:t>
                  </w:r>
                </w:p>
              </w:tc>
              <w:tc>
                <w:tcPr>
                  <w:tcW w:w="3977" w:type="dxa"/>
                  <w:vAlign w:val="center"/>
                </w:tcPr>
                <w:p w14:paraId="5C43F0E6">
                  <w:pPr>
                    <w:pStyle w:val="86"/>
                  </w:pPr>
                  <w:r>
                    <w:rPr>
                      <w:rFonts w:hint="eastAsia"/>
                    </w:rPr>
                    <w:t>直接向海排放污染物的海洋工程建设项目</w:t>
                  </w:r>
                </w:p>
              </w:tc>
              <w:tc>
                <w:tcPr>
                  <w:tcW w:w="2856" w:type="dxa"/>
                  <w:vAlign w:val="center"/>
                </w:tcPr>
                <w:p w14:paraId="357D989F">
                  <w:pPr>
                    <w:pStyle w:val="86"/>
                  </w:pPr>
                  <w:r>
                    <w:rPr>
                      <w:rFonts w:hint="eastAsia"/>
                    </w:rPr>
                    <w:t>本项目不涉及</w:t>
                  </w:r>
                </w:p>
              </w:tc>
            </w:tr>
            <w:tr w14:paraId="510DF08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6" w:type="dxa"/>
                  <w:gridSpan w:val="3"/>
                  <w:vAlign w:val="center"/>
                </w:tcPr>
                <w:p w14:paraId="0A85F049">
                  <w:pPr>
                    <w:pStyle w:val="82"/>
                    <w:ind w:firstLine="422"/>
                    <w:rPr>
                      <w:b/>
                      <w:bCs w:val="0"/>
                      <w:lang w:bidi="ar"/>
                    </w:rPr>
                  </w:pPr>
                  <w:r>
                    <w:rPr>
                      <w:b/>
                      <w:bCs w:val="0"/>
                      <w:lang w:bidi="ar"/>
                    </w:rPr>
                    <w:t>注：1.废气中有毒有害污染物指纳入《有毒有害大气污染物》的污染物（不包括无排放标准的污染物）。</w:t>
                  </w:r>
                </w:p>
                <w:p w14:paraId="4F5FC96E">
                  <w:pPr>
                    <w:pStyle w:val="82"/>
                    <w:ind w:firstLine="422"/>
                    <w:rPr>
                      <w:b/>
                      <w:bCs w:val="0"/>
                      <w:lang w:bidi="ar"/>
                    </w:rPr>
                  </w:pPr>
                  <w:r>
                    <w:rPr>
                      <w:b/>
                      <w:bCs w:val="0"/>
                      <w:lang w:bidi="ar"/>
                    </w:rPr>
                    <w:t>2.环境空气保护目标指自然保护区、风景名胜区、居住区、文化区和农村地区中人群较集中的区域。</w:t>
                  </w:r>
                </w:p>
                <w:p w14:paraId="28BF618C">
                  <w:pPr>
                    <w:pStyle w:val="82"/>
                    <w:ind w:firstLine="422"/>
                    <w:rPr>
                      <w:szCs w:val="21"/>
                    </w:rPr>
                  </w:pPr>
                  <w:r>
                    <w:rPr>
                      <w:b/>
                      <w:bCs w:val="0"/>
                      <w:lang w:bidi="ar"/>
                    </w:rPr>
                    <w:t>3.临界量及其计算方法可参考《建设项目环境风险评价技术导则》（HJ 169）附录B、附录C。</w:t>
                  </w:r>
                </w:p>
              </w:tc>
            </w:tr>
          </w:tbl>
          <w:p w14:paraId="1ED06AFE">
            <w:pPr>
              <w:pStyle w:val="28"/>
              <w:ind w:firstLine="480"/>
            </w:pPr>
            <w:r>
              <w:rPr>
                <w:rFonts w:hint="eastAsia"/>
              </w:rPr>
              <w:t>综上所述，本项目无需开展专项评价。</w:t>
            </w:r>
          </w:p>
        </w:tc>
      </w:tr>
      <w:tr w14:paraId="6E160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271" w:type="dxa"/>
            <w:vAlign w:val="center"/>
          </w:tcPr>
          <w:p w14:paraId="2EC1A246">
            <w:pPr>
              <w:autoSpaceDE w:val="0"/>
              <w:autoSpaceDN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规划情况</w:t>
            </w:r>
          </w:p>
        </w:tc>
        <w:tc>
          <w:tcPr>
            <w:tcW w:w="8222" w:type="dxa"/>
            <w:gridSpan w:val="3"/>
            <w:vAlign w:val="center"/>
          </w:tcPr>
          <w:p w14:paraId="1EA7816B">
            <w:pPr>
              <w:pStyle w:val="28"/>
              <w:ind w:firstLine="480"/>
            </w:pPr>
            <w:r>
              <w:t>1、规划文件名称：《获嘉县产业集聚区总体发展规划（2016-2020）》</w:t>
            </w:r>
          </w:p>
          <w:p w14:paraId="1B1CAA82">
            <w:pPr>
              <w:pStyle w:val="28"/>
              <w:ind w:firstLine="480"/>
            </w:pPr>
            <w:r>
              <w:t>2、审批机关：河南省发展和改革委员会</w:t>
            </w:r>
          </w:p>
          <w:p w14:paraId="557B165E">
            <w:pPr>
              <w:pStyle w:val="28"/>
              <w:ind w:firstLine="480"/>
            </w:pPr>
            <w:r>
              <w:t>3、审批文件名称及文号：《获嘉县产业集聚区总体发展规划（2016-2020）》豫发改工业[2016]594号</w:t>
            </w:r>
          </w:p>
        </w:tc>
      </w:tr>
      <w:tr w14:paraId="1E40D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1" w:type="dxa"/>
            <w:vAlign w:val="center"/>
          </w:tcPr>
          <w:p w14:paraId="5DAAAE4D">
            <w:pPr>
              <w:autoSpaceDE w:val="0"/>
              <w:autoSpaceDN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8222" w:type="dxa"/>
            <w:gridSpan w:val="3"/>
            <w:vAlign w:val="center"/>
          </w:tcPr>
          <w:p w14:paraId="392880C6">
            <w:pPr>
              <w:pStyle w:val="28"/>
              <w:ind w:firstLine="480"/>
            </w:pPr>
            <w:r>
              <w:rPr>
                <w:rFonts w:hint="eastAsia" w:ascii="宋体" w:hAnsi="宋体" w:cs="宋体"/>
              </w:rPr>
              <w:t>①</w:t>
            </w:r>
            <w:r>
              <w:t>规划环境影响评价文件：《获嘉县产业集聚区总体发展规划（2016-2020）调整方案环境影响报告书》；</w:t>
            </w:r>
          </w:p>
          <w:p w14:paraId="61E0F6DB">
            <w:pPr>
              <w:pStyle w:val="28"/>
              <w:ind w:firstLine="480"/>
            </w:pPr>
            <w:r>
              <w:rPr>
                <w:rFonts w:hint="eastAsia"/>
              </w:rPr>
              <w:t>②</w:t>
            </w:r>
            <w:r>
              <w:t>召集审查机关：河南省环境保护厅；</w:t>
            </w:r>
          </w:p>
          <w:p w14:paraId="4FA23E67">
            <w:pPr>
              <w:pStyle w:val="28"/>
              <w:ind w:firstLine="480"/>
            </w:pPr>
            <w:r>
              <w:rPr>
                <w:rFonts w:hint="eastAsia"/>
              </w:rPr>
              <w:t>③</w:t>
            </w:r>
            <w:r>
              <w:t>审查文件名称及文号：《河南省环保厅关于获嘉县产业集聚区总体发展规划（2016-2020）调整方案环境影响报告书审查小组意见》；豫环函[2019]53号</w:t>
            </w:r>
          </w:p>
        </w:tc>
      </w:tr>
      <w:tr w14:paraId="45A90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1" w:type="dxa"/>
            <w:vAlign w:val="center"/>
          </w:tcPr>
          <w:p w14:paraId="37956610">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8222" w:type="dxa"/>
            <w:gridSpan w:val="3"/>
          </w:tcPr>
          <w:p w14:paraId="2422C0D7">
            <w:pPr>
              <w:pStyle w:val="28"/>
              <w:ind w:firstLine="0" w:firstLineChars="0"/>
              <w:rPr>
                <w:b/>
                <w:bCs/>
              </w:rPr>
            </w:pPr>
            <w:r>
              <w:rPr>
                <w:rFonts w:hint="eastAsia"/>
                <w:b/>
                <w:bCs/>
              </w:rPr>
              <w:t>1、本项目与《获嘉县产业集聚区总体发展规划（2016-2020）调整方案环境影响报告书》第六章执行总结中相关结论相符性分析</w:t>
            </w:r>
          </w:p>
          <w:p w14:paraId="6C98EB82">
            <w:pPr>
              <w:pStyle w:val="28"/>
              <w:ind w:firstLine="480"/>
            </w:pPr>
            <w:r>
              <w:t>（1）本项目位于</w:t>
            </w:r>
            <w:r>
              <w:rPr>
                <w:rFonts w:hint="eastAsia"/>
              </w:rPr>
              <w:t>河南省新乡市获嘉县仁爱路与新华街南段交叉口西北产业集聚区二期1号</w:t>
            </w:r>
            <w:r>
              <w:t>，项目与获嘉县产业集聚区</w:t>
            </w:r>
            <w:r>
              <w:rPr>
                <w:rFonts w:hint="eastAsia"/>
              </w:rPr>
              <w:t>北</w:t>
            </w:r>
            <w:r>
              <w:t>区准入条件对照分析如下。</w:t>
            </w:r>
          </w:p>
          <w:p w14:paraId="418FDC4D">
            <w:pPr>
              <w:pStyle w:val="67"/>
              <w:ind w:firstLine="480"/>
              <w:rPr>
                <w:color w:val="auto"/>
                <w:sz w:val="21"/>
                <w:szCs w:val="21"/>
              </w:rPr>
            </w:pPr>
            <w:r>
              <w:rPr>
                <w:rFonts w:hint="eastAsia"/>
              </w:rPr>
              <w:t xml:space="preserve">    </w:t>
            </w:r>
            <w:r>
              <w:t>与集聚区环境保护准入条件相符性分析一览表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611"/>
              <w:gridCol w:w="3610"/>
              <w:gridCol w:w="785"/>
            </w:tblGrid>
            <w:tr w14:paraId="021CEC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724" w:type="dxa"/>
                  <w:vAlign w:val="center"/>
                </w:tcPr>
                <w:p w14:paraId="47035C66">
                  <w:pPr>
                    <w:pStyle w:val="86"/>
                    <w:rPr>
                      <w:b/>
                      <w:bCs w:val="0"/>
                    </w:rPr>
                  </w:pPr>
                  <w:r>
                    <w:rPr>
                      <w:b/>
                      <w:bCs w:val="0"/>
                    </w:rPr>
                    <w:t>准入条件</w:t>
                  </w:r>
                </w:p>
              </w:tc>
              <w:tc>
                <w:tcPr>
                  <w:tcW w:w="3734" w:type="dxa"/>
                  <w:vAlign w:val="center"/>
                </w:tcPr>
                <w:p w14:paraId="66FC9A81">
                  <w:pPr>
                    <w:pStyle w:val="86"/>
                    <w:rPr>
                      <w:b/>
                      <w:bCs w:val="0"/>
                    </w:rPr>
                  </w:pPr>
                  <w:r>
                    <w:rPr>
                      <w:b/>
                      <w:bCs w:val="0"/>
                    </w:rPr>
                    <w:t>本项目情况</w:t>
                  </w:r>
                </w:p>
              </w:tc>
              <w:tc>
                <w:tcPr>
                  <w:tcW w:w="808" w:type="dxa"/>
                  <w:vAlign w:val="center"/>
                </w:tcPr>
                <w:p w14:paraId="03C044D2">
                  <w:pPr>
                    <w:pStyle w:val="86"/>
                    <w:rPr>
                      <w:b/>
                      <w:bCs w:val="0"/>
                    </w:rPr>
                  </w:pPr>
                  <w:r>
                    <w:rPr>
                      <w:b/>
                      <w:bCs w:val="0"/>
                    </w:rPr>
                    <w:t>相符性</w:t>
                  </w:r>
                </w:p>
              </w:tc>
            </w:tr>
            <w:tr w14:paraId="3092DC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724" w:type="dxa"/>
                  <w:vAlign w:val="center"/>
                </w:tcPr>
                <w:p w14:paraId="0F261E46">
                  <w:pPr>
                    <w:pStyle w:val="82"/>
                    <w:ind w:firstLine="420"/>
                    <w:rPr>
                      <w:bCs w:val="0"/>
                    </w:rPr>
                  </w:pPr>
                  <w:r>
                    <w:rPr>
                      <w:bCs w:val="0"/>
                    </w:rPr>
                    <w:t>（1）鼓励产业集聚区北区城南片区发展以新材料为主要发展方向的化工项目，在原化工产业的基础上，积极发展高分子粘合剂、涂料、环保基料，以及先进陶瓷材料。</w:t>
                  </w:r>
                </w:p>
                <w:p w14:paraId="6AA723AF">
                  <w:pPr>
                    <w:pStyle w:val="82"/>
                    <w:ind w:firstLine="420"/>
                    <w:rPr>
                      <w:bCs w:val="0"/>
                    </w:rPr>
                  </w:pPr>
                  <w:r>
                    <w:rPr>
                      <w:bCs w:val="0"/>
                    </w:rPr>
                    <w:t>北区城东片区在原装备制造产业基础上，优先引进科技含量高、污染小、能耗低，生产工艺、设备处于先进水平的项目入区，鼓励集聚区引进以集中喷涂、集中电镀为发展方向的项目入驻（建议集中喷涂、集中电镀项目个数分别控制在1~2个）。</w:t>
                  </w:r>
                </w:p>
                <w:p w14:paraId="2AB27D81">
                  <w:pPr>
                    <w:pStyle w:val="82"/>
                    <w:ind w:firstLine="420"/>
                    <w:rPr>
                      <w:bCs w:val="0"/>
                      <w:highlight w:val="yellow"/>
                    </w:rPr>
                  </w:pPr>
                  <w:r>
                    <w:rPr>
                      <w:bCs w:val="0"/>
                    </w:rPr>
                    <w:t>南区以现代家居产业为主导，带动发展纺织服装产业。</w:t>
                  </w:r>
                </w:p>
              </w:tc>
              <w:tc>
                <w:tcPr>
                  <w:tcW w:w="3734" w:type="dxa"/>
                  <w:vAlign w:val="center"/>
                </w:tcPr>
                <w:p w14:paraId="1C8580DB">
                  <w:pPr>
                    <w:pStyle w:val="82"/>
                    <w:ind w:firstLine="420"/>
                    <w:rPr>
                      <w:bCs w:val="0"/>
                      <w:szCs w:val="21"/>
                    </w:rPr>
                  </w:pPr>
                  <w:r>
                    <w:rPr>
                      <w:bCs w:val="0"/>
                    </w:rPr>
                    <w:t>本项目位于</w:t>
                  </w:r>
                  <w:r>
                    <w:rPr>
                      <w:rFonts w:hint="eastAsia"/>
                      <w:bCs w:val="0"/>
                    </w:rPr>
                    <w:t>河南省新乡市获嘉县仁爱路与新华街南段交叉口西北产业集聚区二期1号（</w:t>
                  </w:r>
                  <w:r>
                    <w:rPr>
                      <w:bCs w:val="0"/>
                    </w:rPr>
                    <w:t>北区城</w:t>
                  </w:r>
                  <w:r>
                    <w:rPr>
                      <w:rFonts w:hint="eastAsia"/>
                      <w:bCs w:val="0"/>
                    </w:rPr>
                    <w:t>南</w:t>
                  </w:r>
                  <w:r>
                    <w:rPr>
                      <w:bCs w:val="0"/>
                    </w:rPr>
                    <w:t>片区</w:t>
                  </w:r>
                  <w:r>
                    <w:rPr>
                      <w:rFonts w:hint="eastAsia"/>
                      <w:bCs w:val="0"/>
                    </w:rPr>
                    <w:t>）</w:t>
                  </w:r>
                  <w:r>
                    <w:rPr>
                      <w:bCs w:val="0"/>
                    </w:rPr>
                    <w:t>，</w:t>
                  </w:r>
                  <w:r>
                    <w:rPr>
                      <w:rFonts w:hint="eastAsia"/>
                      <w:bCs w:val="0"/>
                    </w:rPr>
                    <w:t>属于再生塑料颗粒加工项目</w:t>
                  </w:r>
                  <w:r>
                    <w:rPr>
                      <w:bCs w:val="0"/>
                    </w:rPr>
                    <w:t>，</w:t>
                  </w:r>
                  <w:r>
                    <w:rPr>
                      <w:rFonts w:hint="eastAsia"/>
                      <w:bCs w:val="0"/>
                    </w:rPr>
                    <w:t>与园区主导产业不冲突</w:t>
                  </w:r>
                  <w:r>
                    <w:rPr>
                      <w:bCs w:val="0"/>
                    </w:rPr>
                    <w:t>。</w:t>
                  </w:r>
                </w:p>
              </w:tc>
              <w:tc>
                <w:tcPr>
                  <w:tcW w:w="808" w:type="dxa"/>
                  <w:vAlign w:val="center"/>
                </w:tcPr>
                <w:p w14:paraId="48AD0482">
                  <w:pPr>
                    <w:jc w:val="center"/>
                  </w:pPr>
                  <w:r>
                    <w:rPr>
                      <w:rFonts w:ascii="宋体" w:hAnsi="宋体"/>
                    </w:rPr>
                    <w:t>符合</w:t>
                  </w:r>
                </w:p>
              </w:tc>
            </w:tr>
            <w:tr w14:paraId="6F8E65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724" w:type="dxa"/>
                  <w:vAlign w:val="center"/>
                </w:tcPr>
                <w:p w14:paraId="0D2F40B6">
                  <w:pPr>
                    <w:pStyle w:val="82"/>
                    <w:ind w:firstLine="420"/>
                    <w:rPr>
                      <w:bCs w:val="0"/>
                      <w:highlight w:val="yellow"/>
                    </w:rPr>
                  </w:pPr>
                  <w:r>
                    <w:rPr>
                      <w:bCs w:val="0"/>
                    </w:rPr>
                    <w:t>（2）鼓励集聚区北区城南片区现有煤化工企业对现有项目实施提标改造、节能减排，提升改造应严格落实《河南省传统煤化工行业转型发展行动方案（2018-2020年）》（豫政办[2018]82号）要求；鼓励引进以集聚区北区城南片区现有煤化工产品为原料的具有高附加值、低环境污染的下游产品生产项目。</w:t>
                  </w:r>
                </w:p>
              </w:tc>
              <w:tc>
                <w:tcPr>
                  <w:tcW w:w="3734" w:type="dxa"/>
                  <w:vAlign w:val="center"/>
                </w:tcPr>
                <w:p w14:paraId="68D22B5B">
                  <w:pPr>
                    <w:pStyle w:val="82"/>
                    <w:ind w:firstLine="420"/>
                    <w:rPr>
                      <w:bCs w:val="0"/>
                      <w:color w:val="FF0000"/>
                      <w:szCs w:val="21"/>
                      <w:highlight w:val="yellow"/>
                    </w:rPr>
                  </w:pPr>
                  <w:r>
                    <w:rPr>
                      <w:bCs w:val="0"/>
                    </w:rPr>
                    <w:t>本项目位于</w:t>
                  </w:r>
                  <w:r>
                    <w:rPr>
                      <w:rFonts w:hint="eastAsia"/>
                      <w:bCs w:val="0"/>
                    </w:rPr>
                    <w:t>河南省新乡市获嘉县仁爱路与新华街南段交叉口西北产业集聚区二期1号</w:t>
                  </w:r>
                  <w:r>
                    <w:rPr>
                      <w:bCs w:val="0"/>
                    </w:rPr>
                    <w:t>，</w:t>
                  </w:r>
                  <w:r>
                    <w:rPr>
                      <w:rFonts w:hint="eastAsia"/>
                      <w:bCs w:val="0"/>
                    </w:rPr>
                    <w:t>为再生塑料颗粒加工项目，</w:t>
                  </w:r>
                  <w:r>
                    <w:rPr>
                      <w:bCs w:val="0"/>
                    </w:rPr>
                    <w:t>不属于煤化工企业。</w:t>
                  </w:r>
                </w:p>
              </w:tc>
              <w:tc>
                <w:tcPr>
                  <w:tcW w:w="808" w:type="dxa"/>
                  <w:vAlign w:val="center"/>
                </w:tcPr>
                <w:p w14:paraId="61D62676">
                  <w:pPr>
                    <w:jc w:val="center"/>
                    <w:rPr>
                      <w:highlight w:val="yellow"/>
                    </w:rPr>
                  </w:pPr>
                  <w:r>
                    <w:rPr>
                      <w:rFonts w:hint="eastAsia" w:ascii="宋体" w:hAnsi="宋体"/>
                    </w:rPr>
                    <w:t>/</w:t>
                  </w:r>
                </w:p>
              </w:tc>
            </w:tr>
            <w:tr w14:paraId="46445E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724" w:type="dxa"/>
                  <w:vAlign w:val="center"/>
                </w:tcPr>
                <w:p w14:paraId="44EB950B">
                  <w:pPr>
                    <w:pStyle w:val="82"/>
                    <w:ind w:firstLine="420"/>
                    <w:rPr>
                      <w:bCs w:val="0"/>
                      <w:highlight w:val="yellow"/>
                    </w:rPr>
                  </w:pPr>
                  <w:r>
                    <w:rPr>
                      <w:bCs w:val="0"/>
                    </w:rPr>
                    <w:t>（3）新、改</w:t>
                  </w:r>
                  <w:r>
                    <w:rPr>
                      <w:rFonts w:hint="eastAsia"/>
                      <w:bCs w:val="0"/>
                    </w:rPr>
                    <w:t>扩</w:t>
                  </w:r>
                  <w:r>
                    <w:rPr>
                      <w:bCs w:val="0"/>
                    </w:rPr>
                    <w:t>建项目必须符合国家、省市产业政策及相关行业准入要求，清洁生产水平达到国内先进水平。</w:t>
                  </w:r>
                </w:p>
              </w:tc>
              <w:tc>
                <w:tcPr>
                  <w:tcW w:w="3734" w:type="dxa"/>
                  <w:vAlign w:val="center"/>
                </w:tcPr>
                <w:p w14:paraId="1CC1A3D6">
                  <w:pPr>
                    <w:pStyle w:val="82"/>
                    <w:ind w:firstLine="420"/>
                    <w:rPr>
                      <w:bCs w:val="0"/>
                      <w:szCs w:val="21"/>
                      <w:highlight w:val="yellow"/>
                    </w:rPr>
                  </w:pPr>
                  <w:r>
                    <w:rPr>
                      <w:bCs w:val="0"/>
                    </w:rPr>
                    <w:t>本项目</w:t>
                  </w:r>
                  <w:r>
                    <w:rPr>
                      <w:rFonts w:hint="eastAsia"/>
                      <w:bCs w:val="0"/>
                    </w:rPr>
                    <w:t>符合国家、省市产业政策及相关行业准入要求，清洁生产水平能够达到国内先进水平</w:t>
                  </w:r>
                  <w:r>
                    <w:rPr>
                      <w:bCs w:val="0"/>
                    </w:rPr>
                    <w:t>。</w:t>
                  </w:r>
                </w:p>
              </w:tc>
              <w:tc>
                <w:tcPr>
                  <w:tcW w:w="808" w:type="dxa"/>
                  <w:vAlign w:val="center"/>
                </w:tcPr>
                <w:p w14:paraId="4BB6FE3E">
                  <w:pPr>
                    <w:jc w:val="center"/>
                    <w:rPr>
                      <w:highlight w:val="yellow"/>
                    </w:rPr>
                  </w:pPr>
                  <w:r>
                    <w:rPr>
                      <w:rFonts w:ascii="宋体" w:hAnsi="宋体"/>
                    </w:rPr>
                    <w:t>符合</w:t>
                  </w:r>
                </w:p>
              </w:tc>
            </w:tr>
            <w:tr w14:paraId="1FD5A3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724" w:type="dxa"/>
                  <w:vAlign w:val="center"/>
                </w:tcPr>
                <w:p w14:paraId="47EB17E4">
                  <w:pPr>
                    <w:pStyle w:val="82"/>
                    <w:ind w:firstLine="420"/>
                    <w:rPr>
                      <w:bCs w:val="0"/>
                      <w:highlight w:val="yellow"/>
                    </w:rPr>
                  </w:pPr>
                  <w:r>
                    <w:rPr>
                      <w:bCs w:val="0"/>
                    </w:rPr>
                    <w:t>（4）鼓励发展符合集聚区功能布局和产业规划，采用先进生产工艺和设备、自动化程度高，具有可靠的污染治理技术或轻污染项目。</w:t>
                  </w:r>
                </w:p>
              </w:tc>
              <w:tc>
                <w:tcPr>
                  <w:tcW w:w="3734" w:type="dxa"/>
                  <w:vAlign w:val="center"/>
                </w:tcPr>
                <w:p w14:paraId="21005E2C">
                  <w:pPr>
                    <w:pStyle w:val="82"/>
                    <w:ind w:firstLine="420"/>
                    <w:rPr>
                      <w:bCs w:val="0"/>
                      <w:szCs w:val="21"/>
                      <w:highlight w:val="yellow"/>
                    </w:rPr>
                  </w:pPr>
                  <w:r>
                    <w:rPr>
                      <w:bCs w:val="0"/>
                    </w:rPr>
                    <w:t>本项目位于</w:t>
                  </w:r>
                  <w:r>
                    <w:rPr>
                      <w:rFonts w:hint="eastAsia"/>
                      <w:bCs w:val="0"/>
                    </w:rPr>
                    <w:t>河南省新乡市获嘉县仁爱路与新华街南段交叉口西北产业集聚区二期1号</w:t>
                  </w:r>
                  <w:r>
                    <w:rPr>
                      <w:bCs w:val="0"/>
                    </w:rPr>
                    <w:t>，</w:t>
                  </w:r>
                  <w:r>
                    <w:rPr>
                      <w:rFonts w:hint="eastAsia"/>
                      <w:bCs w:val="0"/>
                    </w:rPr>
                    <w:t>根据获嘉县产业集聚区总体发展规划（2016-2020）-北部产业空间布局图（见附图三）可知，项目选址位于新型建材区，与</w:t>
                  </w:r>
                  <w:r>
                    <w:rPr>
                      <w:bCs w:val="0"/>
                    </w:rPr>
                    <w:t>园区功能布局和产业规划</w:t>
                  </w:r>
                  <w:r>
                    <w:rPr>
                      <w:rFonts w:hint="eastAsia"/>
                      <w:bCs w:val="0"/>
                    </w:rPr>
                    <w:t>不冲突</w:t>
                  </w:r>
                  <w:r>
                    <w:rPr>
                      <w:bCs w:val="0"/>
                    </w:rPr>
                    <w:t>。项目废气、废水、噪声经过治理后均可达标排放，固废处置措施可行。</w:t>
                  </w:r>
                </w:p>
              </w:tc>
              <w:tc>
                <w:tcPr>
                  <w:tcW w:w="808" w:type="dxa"/>
                  <w:vAlign w:val="center"/>
                </w:tcPr>
                <w:p w14:paraId="26297762">
                  <w:pPr>
                    <w:jc w:val="center"/>
                    <w:rPr>
                      <w:highlight w:val="yellow"/>
                    </w:rPr>
                  </w:pPr>
                  <w:r>
                    <w:rPr>
                      <w:rFonts w:ascii="宋体" w:hAnsi="宋体"/>
                    </w:rPr>
                    <w:t>符合</w:t>
                  </w:r>
                </w:p>
              </w:tc>
            </w:tr>
            <w:tr w14:paraId="0CCF4C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724" w:type="dxa"/>
                  <w:vAlign w:val="center"/>
                </w:tcPr>
                <w:p w14:paraId="61E76DE2">
                  <w:pPr>
                    <w:pStyle w:val="82"/>
                    <w:ind w:firstLine="420"/>
                    <w:rPr>
                      <w:bCs w:val="0"/>
                      <w:highlight w:val="yellow"/>
                    </w:rPr>
                  </w:pPr>
                  <w:r>
                    <w:rPr>
                      <w:bCs w:val="0"/>
                    </w:rPr>
                    <w:t>（5）鼓励污水深度治理、中水回用项目、资源综合利用项目入驻。</w:t>
                  </w:r>
                </w:p>
              </w:tc>
              <w:tc>
                <w:tcPr>
                  <w:tcW w:w="3734" w:type="dxa"/>
                  <w:vAlign w:val="center"/>
                </w:tcPr>
                <w:p w14:paraId="066F62ED">
                  <w:pPr>
                    <w:pStyle w:val="82"/>
                    <w:ind w:firstLine="420"/>
                    <w:rPr>
                      <w:bCs w:val="0"/>
                      <w:color w:val="FF0000"/>
                      <w:szCs w:val="21"/>
                      <w:highlight w:val="yellow"/>
                    </w:rPr>
                  </w:pPr>
                  <w:r>
                    <w:rPr>
                      <w:rFonts w:ascii="宋体" w:hAnsi="宋体"/>
                      <w:bCs w:val="0"/>
                    </w:rPr>
                    <w:t>本项目不属于污水深度治理、中水回用项目、资源综合利用项目。</w:t>
                  </w:r>
                  <w:r>
                    <w:rPr>
                      <w:rFonts w:hint="eastAsia" w:ascii="宋体" w:hAnsi="宋体"/>
                      <w:bCs w:val="0"/>
                    </w:rPr>
                    <w:t>本项目生产废水经厂内一体化污水处理站处理后部分回用于清洗工序，其余部分经管网排入获嘉县香山家园污水处理厂进一步处理</w:t>
                  </w:r>
                  <w:r>
                    <w:rPr>
                      <w:rFonts w:hint="eastAsia"/>
                      <w:bCs w:val="0"/>
                    </w:rPr>
                    <w:t>。</w:t>
                  </w:r>
                </w:p>
              </w:tc>
              <w:tc>
                <w:tcPr>
                  <w:tcW w:w="808" w:type="dxa"/>
                  <w:vAlign w:val="center"/>
                </w:tcPr>
                <w:p w14:paraId="7A32E02E">
                  <w:pPr>
                    <w:jc w:val="center"/>
                  </w:pPr>
                  <w:r>
                    <w:rPr>
                      <w:rFonts w:ascii="宋体" w:hAnsi="宋体"/>
                    </w:rPr>
                    <w:t>符合</w:t>
                  </w:r>
                </w:p>
              </w:tc>
            </w:tr>
            <w:tr w14:paraId="3E6B35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724" w:type="dxa"/>
                  <w:vAlign w:val="center"/>
                </w:tcPr>
                <w:p w14:paraId="07C4490D">
                  <w:pPr>
                    <w:pStyle w:val="82"/>
                    <w:ind w:firstLine="420"/>
                    <w:rPr>
                      <w:bCs w:val="0"/>
                    </w:rPr>
                  </w:pPr>
                  <w:r>
                    <w:rPr>
                      <w:bCs w:val="0"/>
                    </w:rPr>
                    <w:t>（6）建设项目用地应满足集聚区土地利用规划要求，投资强度满足《河南省工业项目建设用地控制指标》的要求。</w:t>
                  </w:r>
                </w:p>
              </w:tc>
              <w:tc>
                <w:tcPr>
                  <w:tcW w:w="3734" w:type="dxa"/>
                  <w:vAlign w:val="center"/>
                </w:tcPr>
                <w:p w14:paraId="103322E2">
                  <w:pPr>
                    <w:pStyle w:val="82"/>
                    <w:ind w:firstLine="420"/>
                    <w:rPr>
                      <w:bCs w:val="0"/>
                      <w:color w:val="FF0000"/>
                      <w:szCs w:val="21"/>
                    </w:rPr>
                  </w:pPr>
                  <w:r>
                    <w:rPr>
                      <w:bCs w:val="0"/>
                    </w:rPr>
                    <w:t>根据《河南省工业建设用地控制指标》规定落址在省级开发区内的工业项目用地投资强度不得低于1800万元/公顷，本项目投资强度为3333万元/公顷，满足要求。</w:t>
                  </w:r>
                </w:p>
              </w:tc>
              <w:tc>
                <w:tcPr>
                  <w:tcW w:w="808" w:type="dxa"/>
                  <w:vAlign w:val="center"/>
                </w:tcPr>
                <w:p w14:paraId="14CE038F">
                  <w:pPr>
                    <w:jc w:val="center"/>
                  </w:pPr>
                  <w:r>
                    <w:rPr>
                      <w:rFonts w:ascii="宋体" w:hAnsi="宋体"/>
                    </w:rPr>
                    <w:t>符合</w:t>
                  </w:r>
                </w:p>
              </w:tc>
            </w:tr>
          </w:tbl>
          <w:p w14:paraId="31DF2517">
            <w:pPr>
              <w:pStyle w:val="28"/>
              <w:ind w:firstLine="480"/>
            </w:pPr>
            <w:r>
              <w:t>（2）本项目位于</w:t>
            </w:r>
            <w:r>
              <w:rPr>
                <w:rFonts w:hint="eastAsia"/>
              </w:rPr>
              <w:t>河南省新乡市获嘉县仁爱路与新华街南段交叉口西北产业集聚区二期1号</w:t>
            </w:r>
            <w:r>
              <w:t>，与获嘉县产业集聚区</w:t>
            </w:r>
            <w:r>
              <w:rPr>
                <w:rFonts w:hint="eastAsia"/>
              </w:rPr>
              <w:t>北</w:t>
            </w:r>
            <w:r>
              <w:t>区</w:t>
            </w:r>
            <w:r>
              <w:rPr>
                <w:rFonts w:hint="eastAsia"/>
              </w:rPr>
              <w:t>城南片区</w:t>
            </w:r>
            <w:r>
              <w:t>负面清单对比分析如下：</w:t>
            </w:r>
          </w:p>
          <w:p w14:paraId="589EB660">
            <w:pPr>
              <w:pStyle w:val="67"/>
              <w:ind w:firstLine="480"/>
            </w:pPr>
            <w:r>
              <w:rPr>
                <w:rFonts w:hint="eastAsia"/>
              </w:rPr>
              <w:t xml:space="preserve">    </w:t>
            </w:r>
            <w:r>
              <w:t>与集聚区</w:t>
            </w:r>
            <w:r>
              <w:rPr>
                <w:rFonts w:hint="eastAsia"/>
              </w:rPr>
              <w:t>北区城南片区</w:t>
            </w:r>
            <w:r>
              <w:t>负面清单相符性分析一览表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8"/>
              <w:gridCol w:w="713"/>
              <w:gridCol w:w="2756"/>
              <w:gridCol w:w="3384"/>
              <w:gridCol w:w="555"/>
            </w:tblGrid>
            <w:tr w14:paraId="08E40B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8" w:type="dxa"/>
                  <w:tcBorders>
                    <w:top w:val="single" w:color="auto" w:sz="8" w:space="0"/>
                    <w:left w:val="nil"/>
                    <w:bottom w:val="single" w:color="auto" w:sz="4" w:space="0"/>
                    <w:right w:val="single" w:color="auto" w:sz="4" w:space="0"/>
                  </w:tcBorders>
                  <w:vAlign w:val="center"/>
                </w:tcPr>
                <w:p w14:paraId="5BC7649A">
                  <w:pPr>
                    <w:pStyle w:val="86"/>
                    <w:rPr>
                      <w:b/>
                      <w:bCs w:val="0"/>
                      <w:szCs w:val="21"/>
                    </w:rPr>
                  </w:pPr>
                  <w:r>
                    <w:rPr>
                      <w:b/>
                      <w:bCs w:val="0"/>
                    </w:rPr>
                    <w:t>类型</w:t>
                  </w:r>
                </w:p>
              </w:tc>
              <w:tc>
                <w:tcPr>
                  <w:tcW w:w="3469" w:type="dxa"/>
                  <w:gridSpan w:val="2"/>
                  <w:tcBorders>
                    <w:top w:val="single" w:color="auto" w:sz="8" w:space="0"/>
                    <w:left w:val="single" w:color="auto" w:sz="4" w:space="0"/>
                    <w:bottom w:val="single" w:color="auto" w:sz="4" w:space="0"/>
                    <w:right w:val="single" w:color="auto" w:sz="4" w:space="0"/>
                  </w:tcBorders>
                  <w:vAlign w:val="center"/>
                </w:tcPr>
                <w:p w14:paraId="0B6B5F16">
                  <w:pPr>
                    <w:pStyle w:val="86"/>
                    <w:rPr>
                      <w:b/>
                      <w:bCs w:val="0"/>
                    </w:rPr>
                  </w:pPr>
                  <w:r>
                    <w:rPr>
                      <w:b/>
                      <w:bCs w:val="0"/>
                    </w:rPr>
                    <w:t>负面清单</w:t>
                  </w:r>
                </w:p>
              </w:tc>
              <w:tc>
                <w:tcPr>
                  <w:tcW w:w="3384" w:type="dxa"/>
                  <w:tcBorders>
                    <w:top w:val="single" w:color="auto" w:sz="8" w:space="0"/>
                    <w:left w:val="single" w:color="auto" w:sz="4" w:space="0"/>
                    <w:bottom w:val="single" w:color="auto" w:sz="4" w:space="0"/>
                    <w:right w:val="single" w:color="auto" w:sz="4" w:space="0"/>
                  </w:tcBorders>
                  <w:vAlign w:val="center"/>
                </w:tcPr>
                <w:p w14:paraId="312B7B20">
                  <w:pPr>
                    <w:pStyle w:val="86"/>
                    <w:rPr>
                      <w:b/>
                      <w:bCs w:val="0"/>
                    </w:rPr>
                  </w:pPr>
                  <w:r>
                    <w:rPr>
                      <w:b/>
                      <w:bCs w:val="0"/>
                    </w:rPr>
                    <w:t>本项目情况</w:t>
                  </w:r>
                </w:p>
              </w:tc>
              <w:tc>
                <w:tcPr>
                  <w:tcW w:w="555" w:type="dxa"/>
                  <w:tcBorders>
                    <w:top w:val="single" w:color="auto" w:sz="8" w:space="0"/>
                    <w:left w:val="single" w:color="auto" w:sz="4" w:space="0"/>
                    <w:bottom w:val="single" w:color="auto" w:sz="4" w:space="0"/>
                    <w:right w:val="nil"/>
                  </w:tcBorders>
                  <w:vAlign w:val="center"/>
                </w:tcPr>
                <w:p w14:paraId="6C1F53F0">
                  <w:pPr>
                    <w:pStyle w:val="86"/>
                    <w:rPr>
                      <w:b/>
                      <w:bCs w:val="0"/>
                    </w:rPr>
                  </w:pPr>
                  <w:r>
                    <w:rPr>
                      <w:b/>
                      <w:bCs w:val="0"/>
                    </w:rPr>
                    <w:t>对比结果</w:t>
                  </w:r>
                </w:p>
              </w:tc>
            </w:tr>
            <w:tr w14:paraId="50C31A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8" w:type="dxa"/>
                  <w:vMerge w:val="restart"/>
                  <w:tcBorders>
                    <w:top w:val="single" w:color="auto" w:sz="4" w:space="0"/>
                    <w:left w:val="nil"/>
                    <w:right w:val="single" w:color="auto" w:sz="4" w:space="0"/>
                  </w:tcBorders>
                  <w:vAlign w:val="center"/>
                </w:tcPr>
                <w:p w14:paraId="2FA5D426">
                  <w:pPr>
                    <w:pStyle w:val="58"/>
                    <w:ind w:left="0"/>
                    <w:jc w:val="center"/>
                    <w:rPr>
                      <w:rFonts w:ascii="Times New Roman" w:hAnsi="Times New Roman" w:cs="Times New Roman"/>
                      <w:b w:val="0"/>
                      <w:bCs w:val="0"/>
                      <w:sz w:val="21"/>
                      <w:szCs w:val="21"/>
                    </w:rPr>
                  </w:pPr>
                  <w:r>
                    <w:rPr>
                      <w:rFonts w:cs="Times New Roman"/>
                      <w:b w:val="0"/>
                      <w:bCs w:val="0"/>
                      <w:sz w:val="21"/>
                      <w:szCs w:val="21"/>
                    </w:rPr>
                    <w:t>限制类</w:t>
                  </w:r>
                </w:p>
              </w:tc>
              <w:tc>
                <w:tcPr>
                  <w:tcW w:w="713" w:type="dxa"/>
                  <w:tcBorders>
                    <w:top w:val="single" w:color="auto" w:sz="4" w:space="0"/>
                    <w:left w:val="single" w:color="auto" w:sz="4" w:space="0"/>
                    <w:right w:val="single" w:color="auto" w:sz="4" w:space="0"/>
                  </w:tcBorders>
                  <w:vAlign w:val="center"/>
                </w:tcPr>
                <w:p w14:paraId="07C88861">
                  <w:pPr>
                    <w:pStyle w:val="86"/>
                  </w:pPr>
                  <w:r>
                    <w:t>空间布局及土地规划</w:t>
                  </w:r>
                </w:p>
                <w:p w14:paraId="054609D2">
                  <w:pPr>
                    <w:pStyle w:val="86"/>
                  </w:pPr>
                </w:p>
              </w:tc>
              <w:tc>
                <w:tcPr>
                  <w:tcW w:w="2756" w:type="dxa"/>
                  <w:tcBorders>
                    <w:top w:val="single" w:color="auto" w:sz="4" w:space="0"/>
                    <w:left w:val="single" w:color="auto" w:sz="4" w:space="0"/>
                    <w:right w:val="single" w:color="auto" w:sz="4" w:space="0"/>
                  </w:tcBorders>
                  <w:vAlign w:val="center"/>
                </w:tcPr>
                <w:p w14:paraId="0E658E28">
                  <w:pPr>
                    <w:pStyle w:val="82"/>
                    <w:ind w:firstLine="420"/>
                    <w:rPr>
                      <w:bCs w:val="0"/>
                    </w:rPr>
                  </w:pPr>
                  <w:r>
                    <w:rPr>
                      <w:bCs w:val="0"/>
                    </w:rPr>
                    <w:t>限制与集聚区土地利用规划不相符的现有企业进行</w:t>
                  </w:r>
                  <w:r>
                    <w:rPr>
                      <w:rFonts w:hint="eastAsia"/>
                      <w:bCs w:val="0"/>
                    </w:rPr>
                    <w:t>扩</w:t>
                  </w:r>
                  <w:r>
                    <w:rPr>
                      <w:bCs w:val="0"/>
                    </w:rPr>
                    <w:t>建；</w:t>
                  </w:r>
                </w:p>
              </w:tc>
              <w:tc>
                <w:tcPr>
                  <w:tcW w:w="3384" w:type="dxa"/>
                  <w:tcBorders>
                    <w:top w:val="single" w:color="auto" w:sz="4" w:space="0"/>
                    <w:left w:val="single" w:color="auto" w:sz="4" w:space="0"/>
                    <w:bottom w:val="single" w:color="auto" w:sz="4" w:space="0"/>
                    <w:right w:val="single" w:color="auto" w:sz="4" w:space="0"/>
                  </w:tcBorders>
                  <w:vAlign w:val="center"/>
                </w:tcPr>
                <w:p w14:paraId="3C8A40CE">
                  <w:pPr>
                    <w:pStyle w:val="82"/>
                    <w:ind w:firstLine="420"/>
                    <w:rPr>
                      <w:bCs w:val="0"/>
                    </w:rPr>
                  </w:pPr>
                  <w:r>
                    <w:rPr>
                      <w:rFonts w:hint="eastAsia"/>
                      <w:bCs w:val="0"/>
                    </w:rPr>
                    <w:t>本项目为扩建项目，选址位于获嘉县产业集聚区北部城南片区，根据获嘉县产业集聚区总体发展规划（2016-2020）-北部用地布局规划图（见附图二），项目所在区域用地属于工业用地，项目选址用地性质符合获嘉县产业集聚区土地利用规划</w:t>
                  </w:r>
                  <w:r>
                    <w:rPr>
                      <w:bCs w:val="0"/>
                    </w:rPr>
                    <w:t>；</w:t>
                  </w:r>
                </w:p>
              </w:tc>
              <w:tc>
                <w:tcPr>
                  <w:tcW w:w="555" w:type="dxa"/>
                  <w:tcBorders>
                    <w:top w:val="single" w:color="auto" w:sz="4" w:space="0"/>
                    <w:left w:val="single" w:color="auto" w:sz="4" w:space="0"/>
                    <w:bottom w:val="single" w:color="auto" w:sz="4" w:space="0"/>
                    <w:right w:val="nil"/>
                  </w:tcBorders>
                  <w:vAlign w:val="center"/>
                </w:tcPr>
                <w:p w14:paraId="1EE4F621">
                  <w:pPr>
                    <w:jc w:val="center"/>
                    <w:rPr>
                      <w:szCs w:val="21"/>
                    </w:rPr>
                  </w:pPr>
                  <w:r>
                    <w:rPr>
                      <w:rFonts w:ascii="宋体" w:hAnsi="宋体"/>
                    </w:rPr>
                    <w:t>不属于限制类</w:t>
                  </w:r>
                </w:p>
              </w:tc>
            </w:tr>
            <w:tr w14:paraId="09A0B4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8" w:type="dxa"/>
                  <w:vMerge w:val="continue"/>
                  <w:tcBorders>
                    <w:left w:val="nil"/>
                    <w:right w:val="single" w:color="auto" w:sz="4" w:space="0"/>
                  </w:tcBorders>
                  <w:vAlign w:val="center"/>
                </w:tcPr>
                <w:p w14:paraId="7D21E4A0">
                  <w:pPr>
                    <w:pStyle w:val="58"/>
                    <w:ind w:left="0"/>
                    <w:jc w:val="center"/>
                    <w:rPr>
                      <w:rFonts w:hint="eastAsia" w:cs="Times New Roman"/>
                      <w:b w:val="0"/>
                      <w:bCs w:val="0"/>
                      <w:sz w:val="21"/>
                      <w:szCs w:val="21"/>
                    </w:rPr>
                  </w:pPr>
                </w:p>
              </w:tc>
              <w:tc>
                <w:tcPr>
                  <w:tcW w:w="713" w:type="dxa"/>
                  <w:tcBorders>
                    <w:left w:val="single" w:color="auto" w:sz="4" w:space="0"/>
                    <w:right w:val="single" w:color="auto" w:sz="4" w:space="0"/>
                  </w:tcBorders>
                  <w:vAlign w:val="center"/>
                </w:tcPr>
                <w:p w14:paraId="44BDBFA1">
                  <w:pPr>
                    <w:pStyle w:val="86"/>
                  </w:pPr>
                  <w:r>
                    <w:t>产业政策及行业准入</w:t>
                  </w:r>
                </w:p>
              </w:tc>
              <w:tc>
                <w:tcPr>
                  <w:tcW w:w="2756" w:type="dxa"/>
                  <w:tcBorders>
                    <w:left w:val="single" w:color="auto" w:sz="4" w:space="0"/>
                    <w:right w:val="single" w:color="auto" w:sz="4" w:space="0"/>
                  </w:tcBorders>
                  <w:vAlign w:val="center"/>
                </w:tcPr>
                <w:p w14:paraId="184CD35A">
                  <w:pPr>
                    <w:pStyle w:val="82"/>
                    <w:ind w:firstLine="420"/>
                    <w:rPr>
                      <w:bCs w:val="0"/>
                    </w:rPr>
                  </w:pPr>
                  <w:r>
                    <w:rPr>
                      <w:bCs w:val="0"/>
                    </w:rPr>
                    <w:t>限制发展原料和产品为非环境友好型的项目；</w:t>
                  </w:r>
                </w:p>
              </w:tc>
              <w:tc>
                <w:tcPr>
                  <w:tcW w:w="3384" w:type="dxa"/>
                  <w:tcBorders>
                    <w:top w:val="single" w:color="auto" w:sz="4" w:space="0"/>
                    <w:left w:val="single" w:color="auto" w:sz="4" w:space="0"/>
                    <w:bottom w:val="single" w:color="auto" w:sz="4" w:space="0"/>
                    <w:right w:val="single" w:color="auto" w:sz="4" w:space="0"/>
                  </w:tcBorders>
                  <w:vAlign w:val="center"/>
                </w:tcPr>
                <w:p w14:paraId="5654D5AC">
                  <w:pPr>
                    <w:pStyle w:val="82"/>
                    <w:ind w:firstLine="420"/>
                    <w:rPr>
                      <w:bCs w:val="0"/>
                    </w:rPr>
                  </w:pPr>
                  <w:r>
                    <w:rPr>
                      <w:rFonts w:hint="eastAsia"/>
                      <w:bCs w:val="0"/>
                    </w:rPr>
                    <w:t>本项目不属于原料和产品非环境友好型的项目</w:t>
                  </w:r>
                  <w:r>
                    <w:rPr>
                      <w:bCs w:val="0"/>
                    </w:rPr>
                    <w:t>；</w:t>
                  </w:r>
                </w:p>
              </w:tc>
              <w:tc>
                <w:tcPr>
                  <w:tcW w:w="555" w:type="dxa"/>
                  <w:tcBorders>
                    <w:top w:val="single" w:color="auto" w:sz="4" w:space="0"/>
                    <w:left w:val="single" w:color="auto" w:sz="4" w:space="0"/>
                    <w:bottom w:val="single" w:color="auto" w:sz="4" w:space="0"/>
                    <w:right w:val="nil"/>
                  </w:tcBorders>
                  <w:vAlign w:val="center"/>
                </w:tcPr>
                <w:p w14:paraId="0F96073F">
                  <w:pPr>
                    <w:jc w:val="center"/>
                    <w:rPr>
                      <w:rFonts w:hint="eastAsia" w:ascii="宋体" w:hAnsi="宋体"/>
                    </w:rPr>
                  </w:pPr>
                  <w:r>
                    <w:rPr>
                      <w:rFonts w:ascii="宋体" w:hAnsi="宋体"/>
                    </w:rPr>
                    <w:t>不属于限制类</w:t>
                  </w:r>
                </w:p>
              </w:tc>
            </w:tr>
            <w:tr w14:paraId="125190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8" w:type="dxa"/>
                  <w:vMerge w:val="continue"/>
                  <w:tcBorders>
                    <w:left w:val="nil"/>
                    <w:right w:val="single" w:color="auto" w:sz="4" w:space="0"/>
                  </w:tcBorders>
                  <w:vAlign w:val="center"/>
                </w:tcPr>
                <w:p w14:paraId="5B91130D">
                  <w:pPr>
                    <w:pStyle w:val="58"/>
                    <w:ind w:left="0"/>
                    <w:jc w:val="center"/>
                    <w:rPr>
                      <w:rFonts w:hint="eastAsia" w:cs="Times New Roman"/>
                      <w:b w:val="0"/>
                      <w:bCs w:val="0"/>
                      <w:sz w:val="21"/>
                      <w:szCs w:val="21"/>
                    </w:rPr>
                  </w:pPr>
                </w:p>
              </w:tc>
              <w:tc>
                <w:tcPr>
                  <w:tcW w:w="713" w:type="dxa"/>
                  <w:tcBorders>
                    <w:left w:val="single" w:color="auto" w:sz="4" w:space="0"/>
                    <w:right w:val="single" w:color="auto" w:sz="4" w:space="0"/>
                  </w:tcBorders>
                  <w:vAlign w:val="center"/>
                </w:tcPr>
                <w:p w14:paraId="480E0F23">
                  <w:pPr>
                    <w:pStyle w:val="86"/>
                  </w:pPr>
                  <w:r>
                    <w:t>污染物排放及资源利用</w:t>
                  </w:r>
                </w:p>
              </w:tc>
              <w:tc>
                <w:tcPr>
                  <w:tcW w:w="2756" w:type="dxa"/>
                  <w:tcBorders>
                    <w:left w:val="single" w:color="auto" w:sz="4" w:space="0"/>
                    <w:right w:val="single" w:color="auto" w:sz="4" w:space="0"/>
                  </w:tcBorders>
                  <w:vAlign w:val="center"/>
                </w:tcPr>
                <w:p w14:paraId="6794CC83">
                  <w:pPr>
                    <w:pStyle w:val="82"/>
                    <w:ind w:firstLine="420"/>
                    <w:rPr>
                      <w:bCs w:val="0"/>
                    </w:rPr>
                  </w:pPr>
                  <w:r>
                    <w:rPr>
                      <w:rFonts w:hint="eastAsia"/>
                      <w:bCs w:val="0"/>
                    </w:rPr>
                    <w:t>限制</w:t>
                  </w:r>
                  <w:r>
                    <w:rPr>
                      <w:bCs w:val="0"/>
                    </w:rPr>
                    <w:t>污染防治和资源利用技术不成熟、污染物不能达标排放的项目</w:t>
                  </w:r>
                  <w:r>
                    <w:rPr>
                      <w:rFonts w:hint="eastAsia"/>
                      <w:bCs w:val="0"/>
                    </w:rPr>
                    <w:t>。</w:t>
                  </w:r>
                </w:p>
              </w:tc>
              <w:tc>
                <w:tcPr>
                  <w:tcW w:w="3384" w:type="dxa"/>
                  <w:tcBorders>
                    <w:top w:val="single" w:color="auto" w:sz="4" w:space="0"/>
                    <w:left w:val="single" w:color="auto" w:sz="4" w:space="0"/>
                    <w:bottom w:val="single" w:color="auto" w:sz="4" w:space="0"/>
                    <w:right w:val="single" w:color="auto" w:sz="4" w:space="0"/>
                  </w:tcBorders>
                  <w:vAlign w:val="center"/>
                </w:tcPr>
                <w:p w14:paraId="5276A1EB">
                  <w:pPr>
                    <w:pStyle w:val="82"/>
                    <w:ind w:firstLine="420"/>
                  </w:pPr>
                  <w:r>
                    <w:t>本项目污染防治措施成熟，</w:t>
                  </w:r>
                  <w:r>
                    <w:rPr>
                      <w:rFonts w:hint="eastAsia"/>
                    </w:rPr>
                    <w:t>熔融挤出工序产生的有机废气采用工业高压静电油烟净化装置+</w:t>
                  </w:r>
                  <w:r>
                    <w:t>活性炭吸附/</w:t>
                  </w:r>
                  <w:r>
                    <w:rPr>
                      <w:rFonts w:hint="eastAsia"/>
                    </w:rPr>
                    <w:t>脱附</w:t>
                  </w:r>
                  <w:r>
                    <w:t>-催化燃烧装置处理</w:t>
                  </w:r>
                  <w:r>
                    <w:rPr>
                      <w:rFonts w:hint="eastAsia"/>
                    </w:rPr>
                    <w:t>；清洗废水经一体化污水处理站处理，生活污水经化粪池处理，最后一起经管网排入获嘉县香山家园污水处理厂进一步处理，废气废水各</w:t>
                  </w:r>
                  <w:r>
                    <w:rPr>
                      <w:bCs w:val="0"/>
                    </w:rPr>
                    <w:t>污染物</w:t>
                  </w:r>
                  <w:r>
                    <w:rPr>
                      <w:rFonts w:hint="eastAsia"/>
                      <w:bCs w:val="0"/>
                    </w:rPr>
                    <w:t>均</w:t>
                  </w:r>
                  <w:r>
                    <w:rPr>
                      <w:bCs w:val="0"/>
                    </w:rPr>
                    <w:t>能达标排放</w:t>
                  </w:r>
                  <w:r>
                    <w:t>。</w:t>
                  </w:r>
                </w:p>
              </w:tc>
              <w:tc>
                <w:tcPr>
                  <w:tcW w:w="555" w:type="dxa"/>
                  <w:tcBorders>
                    <w:top w:val="single" w:color="auto" w:sz="4" w:space="0"/>
                    <w:left w:val="single" w:color="auto" w:sz="4" w:space="0"/>
                    <w:bottom w:val="single" w:color="auto" w:sz="4" w:space="0"/>
                    <w:right w:val="nil"/>
                  </w:tcBorders>
                  <w:vAlign w:val="center"/>
                </w:tcPr>
                <w:p w14:paraId="2C2E9687">
                  <w:pPr>
                    <w:jc w:val="center"/>
                    <w:rPr>
                      <w:rFonts w:hint="eastAsia" w:ascii="宋体" w:hAnsi="宋体"/>
                    </w:rPr>
                  </w:pPr>
                  <w:r>
                    <w:rPr>
                      <w:rFonts w:ascii="宋体" w:hAnsi="宋体"/>
                    </w:rPr>
                    <w:t>不属于限制类</w:t>
                  </w:r>
                </w:p>
              </w:tc>
            </w:tr>
            <w:tr w14:paraId="17F81C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8" w:type="dxa"/>
                  <w:vMerge w:val="continue"/>
                  <w:tcBorders>
                    <w:left w:val="nil"/>
                    <w:bottom w:val="single" w:color="auto" w:sz="4" w:space="0"/>
                    <w:right w:val="single" w:color="auto" w:sz="4" w:space="0"/>
                  </w:tcBorders>
                  <w:vAlign w:val="center"/>
                </w:tcPr>
                <w:p w14:paraId="5E31FD22">
                  <w:pPr>
                    <w:pStyle w:val="58"/>
                    <w:ind w:left="0"/>
                    <w:jc w:val="center"/>
                    <w:rPr>
                      <w:rFonts w:hint="eastAsia" w:cs="Times New Roman"/>
                      <w:b w:val="0"/>
                      <w:bCs w:val="0"/>
                      <w:sz w:val="21"/>
                      <w:szCs w:val="21"/>
                    </w:rPr>
                  </w:pPr>
                </w:p>
              </w:tc>
              <w:tc>
                <w:tcPr>
                  <w:tcW w:w="713" w:type="dxa"/>
                  <w:tcBorders>
                    <w:left w:val="single" w:color="auto" w:sz="4" w:space="0"/>
                    <w:bottom w:val="single" w:color="auto" w:sz="4" w:space="0"/>
                    <w:right w:val="single" w:color="auto" w:sz="4" w:space="0"/>
                  </w:tcBorders>
                  <w:vAlign w:val="center"/>
                </w:tcPr>
                <w:p w14:paraId="272E7CEE">
                  <w:pPr>
                    <w:pStyle w:val="86"/>
                  </w:pPr>
                  <w:r>
                    <w:t>环境风险</w:t>
                  </w:r>
                </w:p>
              </w:tc>
              <w:tc>
                <w:tcPr>
                  <w:tcW w:w="2756" w:type="dxa"/>
                  <w:tcBorders>
                    <w:left w:val="single" w:color="auto" w:sz="4" w:space="0"/>
                    <w:bottom w:val="single" w:color="auto" w:sz="4" w:space="0"/>
                    <w:right w:val="single" w:color="auto" w:sz="4" w:space="0"/>
                  </w:tcBorders>
                  <w:vAlign w:val="center"/>
                </w:tcPr>
                <w:p w14:paraId="3EC8F92A">
                  <w:pPr>
                    <w:pStyle w:val="82"/>
                    <w:ind w:firstLine="420"/>
                  </w:pPr>
                  <w:r>
                    <w:rPr>
                      <w:rFonts w:hint="eastAsia"/>
                    </w:rPr>
                    <w:t>限制</w:t>
                  </w:r>
                  <w:r>
                    <w:t>新建无可靠风险防范措施且存在重大危险源项目。</w:t>
                  </w:r>
                </w:p>
              </w:tc>
              <w:tc>
                <w:tcPr>
                  <w:tcW w:w="3384" w:type="dxa"/>
                  <w:tcBorders>
                    <w:top w:val="single" w:color="auto" w:sz="4" w:space="0"/>
                    <w:left w:val="single" w:color="auto" w:sz="4" w:space="0"/>
                    <w:bottom w:val="single" w:color="auto" w:sz="4" w:space="0"/>
                    <w:right w:val="single" w:color="auto" w:sz="4" w:space="0"/>
                  </w:tcBorders>
                  <w:vAlign w:val="center"/>
                </w:tcPr>
                <w:p w14:paraId="3F0B84BE">
                  <w:pPr>
                    <w:pStyle w:val="82"/>
                    <w:ind w:firstLine="420"/>
                    <w:rPr>
                      <w:bCs w:val="0"/>
                    </w:rPr>
                  </w:pPr>
                  <w:r>
                    <w:rPr>
                      <w:bCs w:val="0"/>
                    </w:rPr>
                    <w:t>项目不存在重大危险源</w:t>
                  </w:r>
                </w:p>
              </w:tc>
              <w:tc>
                <w:tcPr>
                  <w:tcW w:w="555" w:type="dxa"/>
                  <w:tcBorders>
                    <w:top w:val="single" w:color="auto" w:sz="4" w:space="0"/>
                    <w:left w:val="single" w:color="auto" w:sz="4" w:space="0"/>
                    <w:bottom w:val="single" w:color="auto" w:sz="4" w:space="0"/>
                    <w:right w:val="nil"/>
                  </w:tcBorders>
                  <w:vAlign w:val="center"/>
                </w:tcPr>
                <w:p w14:paraId="37F0479D">
                  <w:pPr>
                    <w:jc w:val="center"/>
                    <w:rPr>
                      <w:rFonts w:hint="eastAsia" w:ascii="宋体" w:hAnsi="宋体"/>
                    </w:rPr>
                  </w:pPr>
                  <w:r>
                    <w:rPr>
                      <w:rFonts w:ascii="宋体" w:hAnsi="宋体"/>
                    </w:rPr>
                    <w:t>不属于限制类</w:t>
                  </w:r>
                </w:p>
              </w:tc>
            </w:tr>
            <w:tr w14:paraId="5CEAF7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8" w:type="dxa"/>
                  <w:vMerge w:val="restart"/>
                  <w:tcBorders>
                    <w:left w:val="nil"/>
                    <w:right w:val="single" w:color="auto" w:sz="4" w:space="0"/>
                  </w:tcBorders>
                  <w:vAlign w:val="center"/>
                </w:tcPr>
                <w:p w14:paraId="6C4F4F9E">
                  <w:pPr>
                    <w:pStyle w:val="58"/>
                    <w:ind w:left="0"/>
                    <w:jc w:val="center"/>
                    <w:rPr>
                      <w:rFonts w:hint="eastAsia" w:cs="Times New Roman"/>
                      <w:b w:val="0"/>
                      <w:bCs w:val="0"/>
                      <w:sz w:val="21"/>
                      <w:szCs w:val="21"/>
                    </w:rPr>
                  </w:pPr>
                  <w:r>
                    <w:rPr>
                      <w:rFonts w:hint="eastAsia" w:cs="Times New Roman"/>
                      <w:b w:val="0"/>
                      <w:bCs w:val="0"/>
                      <w:sz w:val="21"/>
                      <w:szCs w:val="21"/>
                    </w:rPr>
                    <w:t>禁止类</w:t>
                  </w:r>
                </w:p>
              </w:tc>
              <w:tc>
                <w:tcPr>
                  <w:tcW w:w="713" w:type="dxa"/>
                  <w:tcBorders>
                    <w:left w:val="single" w:color="auto" w:sz="4" w:space="0"/>
                    <w:bottom w:val="single" w:color="auto" w:sz="4" w:space="0"/>
                    <w:right w:val="single" w:color="auto" w:sz="4" w:space="0"/>
                  </w:tcBorders>
                  <w:vAlign w:val="center"/>
                </w:tcPr>
                <w:p w14:paraId="39AE3FC8">
                  <w:pPr>
                    <w:pStyle w:val="86"/>
                  </w:pPr>
                  <w:r>
                    <w:t>空间布局及土地规划</w:t>
                  </w:r>
                </w:p>
              </w:tc>
              <w:tc>
                <w:tcPr>
                  <w:tcW w:w="2756" w:type="dxa"/>
                  <w:tcBorders>
                    <w:left w:val="single" w:color="auto" w:sz="4" w:space="0"/>
                    <w:bottom w:val="single" w:color="auto" w:sz="4" w:space="0"/>
                    <w:right w:val="single" w:color="auto" w:sz="4" w:space="0"/>
                  </w:tcBorders>
                  <w:vAlign w:val="center"/>
                </w:tcPr>
                <w:p w14:paraId="25814030">
                  <w:pPr>
                    <w:pStyle w:val="82"/>
                    <w:ind w:firstLine="420"/>
                  </w:pPr>
                  <w:r>
                    <w:t>1</w:t>
                  </w:r>
                  <w:r>
                    <w:rPr>
                      <w:rFonts w:hint="eastAsia"/>
                    </w:rPr>
                    <w:t>、禁止不符合土地利用规划的化工项目（单纯混合和分装的除外）；</w:t>
                  </w:r>
                </w:p>
                <w:p w14:paraId="6CD1BE56">
                  <w:pPr>
                    <w:pStyle w:val="82"/>
                    <w:ind w:firstLine="420"/>
                  </w:pPr>
                  <w:r>
                    <w:t>2</w:t>
                  </w:r>
                  <w:r>
                    <w:rPr>
                      <w:rFonts w:hint="eastAsia"/>
                    </w:rPr>
                    <w:t>、禁止现有煤化工企业扩大用地规模。</w:t>
                  </w:r>
                </w:p>
              </w:tc>
              <w:tc>
                <w:tcPr>
                  <w:tcW w:w="3384" w:type="dxa"/>
                  <w:tcBorders>
                    <w:top w:val="single" w:color="auto" w:sz="4" w:space="0"/>
                    <w:left w:val="single" w:color="auto" w:sz="4" w:space="0"/>
                    <w:bottom w:val="single" w:color="auto" w:sz="4" w:space="0"/>
                    <w:right w:val="single" w:color="auto" w:sz="4" w:space="0"/>
                  </w:tcBorders>
                  <w:vAlign w:val="center"/>
                </w:tcPr>
                <w:p w14:paraId="457FCB8C">
                  <w:pPr>
                    <w:pStyle w:val="82"/>
                    <w:ind w:firstLine="420"/>
                    <w:rPr>
                      <w:bCs w:val="0"/>
                    </w:rPr>
                  </w:pPr>
                  <w:r>
                    <w:rPr>
                      <w:rFonts w:hint="eastAsia"/>
                      <w:bCs w:val="0"/>
                    </w:rPr>
                    <w:t>本项目为再生塑料颗粒加工项目，不属于化工项目，不属于现有煤化工企业。</w:t>
                  </w:r>
                </w:p>
              </w:tc>
              <w:tc>
                <w:tcPr>
                  <w:tcW w:w="555" w:type="dxa"/>
                  <w:tcBorders>
                    <w:top w:val="single" w:color="auto" w:sz="4" w:space="0"/>
                    <w:left w:val="single" w:color="auto" w:sz="4" w:space="0"/>
                    <w:bottom w:val="single" w:color="auto" w:sz="4" w:space="0"/>
                    <w:right w:val="nil"/>
                  </w:tcBorders>
                  <w:vAlign w:val="center"/>
                </w:tcPr>
                <w:p w14:paraId="52B09FB0">
                  <w:pPr>
                    <w:jc w:val="center"/>
                    <w:rPr>
                      <w:rFonts w:hint="eastAsia" w:ascii="宋体" w:hAnsi="宋体"/>
                    </w:rPr>
                  </w:pPr>
                  <w:r>
                    <w:rPr>
                      <w:rFonts w:ascii="宋体" w:hAnsi="宋体"/>
                    </w:rPr>
                    <w:t>不属于</w:t>
                  </w:r>
                  <w:r>
                    <w:rPr>
                      <w:rFonts w:hint="eastAsia" w:ascii="宋体" w:hAnsi="宋体"/>
                    </w:rPr>
                    <w:t>禁止</w:t>
                  </w:r>
                  <w:r>
                    <w:rPr>
                      <w:rFonts w:ascii="宋体" w:hAnsi="宋体"/>
                    </w:rPr>
                    <w:t>类</w:t>
                  </w:r>
                </w:p>
              </w:tc>
            </w:tr>
            <w:tr w14:paraId="4C20FB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8" w:type="dxa"/>
                  <w:vMerge w:val="continue"/>
                  <w:tcBorders>
                    <w:left w:val="nil"/>
                    <w:right w:val="single" w:color="auto" w:sz="4" w:space="0"/>
                  </w:tcBorders>
                  <w:vAlign w:val="center"/>
                </w:tcPr>
                <w:p w14:paraId="0E4C9BCA">
                  <w:pPr>
                    <w:pStyle w:val="58"/>
                    <w:ind w:left="0"/>
                    <w:jc w:val="center"/>
                    <w:rPr>
                      <w:rFonts w:hint="eastAsia" w:cs="Times New Roman"/>
                      <w:b w:val="0"/>
                      <w:bCs w:val="0"/>
                      <w:sz w:val="21"/>
                      <w:szCs w:val="21"/>
                    </w:rPr>
                  </w:pPr>
                </w:p>
              </w:tc>
              <w:tc>
                <w:tcPr>
                  <w:tcW w:w="713" w:type="dxa"/>
                  <w:tcBorders>
                    <w:left w:val="single" w:color="auto" w:sz="4" w:space="0"/>
                    <w:bottom w:val="single" w:color="auto" w:sz="4" w:space="0"/>
                    <w:right w:val="single" w:color="auto" w:sz="4" w:space="0"/>
                  </w:tcBorders>
                  <w:vAlign w:val="center"/>
                </w:tcPr>
                <w:p w14:paraId="2C014FA7">
                  <w:pPr>
                    <w:pStyle w:val="86"/>
                  </w:pPr>
                  <w:r>
                    <w:t>产业政策及行业准入</w:t>
                  </w:r>
                </w:p>
              </w:tc>
              <w:tc>
                <w:tcPr>
                  <w:tcW w:w="2756" w:type="dxa"/>
                  <w:tcBorders>
                    <w:left w:val="single" w:color="auto" w:sz="4" w:space="0"/>
                    <w:bottom w:val="single" w:color="auto" w:sz="4" w:space="0"/>
                    <w:right w:val="single" w:color="auto" w:sz="4" w:space="0"/>
                  </w:tcBorders>
                  <w:vAlign w:val="center"/>
                </w:tcPr>
                <w:p w14:paraId="0DFE4809">
                  <w:pPr>
                    <w:pStyle w:val="82"/>
                    <w:ind w:firstLine="420"/>
                  </w:pPr>
                  <w:r>
                    <w:t>1</w:t>
                  </w:r>
                  <w:r>
                    <w:rPr>
                      <w:rFonts w:hint="eastAsia"/>
                    </w:rPr>
                    <w:t>、禁止新建国家《产业结构调整指导目录（</w:t>
                  </w:r>
                  <w:r>
                    <w:t>2011</w:t>
                  </w:r>
                  <w:r>
                    <w:rPr>
                      <w:rFonts w:hint="eastAsia"/>
                    </w:rPr>
                    <w:t>年本）》（</w:t>
                  </w:r>
                  <w:r>
                    <w:t>2013</w:t>
                  </w:r>
                  <w:r>
                    <w:rPr>
                      <w:rFonts w:hint="eastAsia"/>
                    </w:rPr>
                    <w:t>年修正）中限制、淘汰类建设项目；</w:t>
                  </w:r>
                </w:p>
                <w:p w14:paraId="6F1E3199">
                  <w:pPr>
                    <w:pStyle w:val="82"/>
                    <w:ind w:firstLine="420"/>
                  </w:pPr>
                  <w:r>
                    <w:t>2</w:t>
                  </w:r>
                  <w:r>
                    <w:rPr>
                      <w:rFonts w:hint="eastAsia"/>
                    </w:rPr>
                    <w:t>、禁止现有煤化工企业单纯扩大产能的项目；</w:t>
                  </w:r>
                </w:p>
                <w:p w14:paraId="74619A7D">
                  <w:pPr>
                    <w:pStyle w:val="82"/>
                    <w:ind w:firstLine="420"/>
                  </w:pPr>
                  <w:r>
                    <w:t>3</w:t>
                  </w:r>
                  <w:r>
                    <w:rPr>
                      <w:rFonts w:hint="eastAsia"/>
                    </w:rPr>
                    <w:t>、禁止新建光气、氰化钠、氟乙酸甲酯等剧毒化学品以及硝酸铵、硝化棉等易制爆化学品；</w:t>
                  </w:r>
                </w:p>
                <w:p w14:paraId="5F709A6E">
                  <w:pPr>
                    <w:pStyle w:val="82"/>
                    <w:ind w:firstLine="420"/>
                  </w:pPr>
                  <w:r>
                    <w:t>4</w:t>
                  </w:r>
                  <w:r>
                    <w:rPr>
                      <w:rFonts w:hint="eastAsia"/>
                    </w:rPr>
                    <w:t>、禁止新建农药原药、有机颜料、染料及中间体、印染助剂、橡胶助剂项目（不包括鼓励类的产品和生产工艺）；</w:t>
                  </w:r>
                </w:p>
                <w:p w14:paraId="49598725">
                  <w:pPr>
                    <w:pStyle w:val="82"/>
                    <w:ind w:firstLine="420"/>
                  </w:pPr>
                  <w:r>
                    <w:t>5</w:t>
                  </w:r>
                  <w:r>
                    <w:rPr>
                      <w:rFonts w:hint="eastAsia"/>
                    </w:rPr>
                    <w:t>、禁止建设生产和使用高</w:t>
                  </w:r>
                  <w:r>
                    <w:t>VOCs</w:t>
                  </w:r>
                  <w:r>
                    <w:rPr>
                      <w:rFonts w:hint="eastAsia"/>
                    </w:rPr>
                    <w:t>含量的溶剂型涂料、油墨和胶黏剂等项目。</w:t>
                  </w:r>
                </w:p>
              </w:tc>
              <w:tc>
                <w:tcPr>
                  <w:tcW w:w="3384" w:type="dxa"/>
                  <w:tcBorders>
                    <w:top w:val="single" w:color="auto" w:sz="4" w:space="0"/>
                    <w:left w:val="single" w:color="auto" w:sz="4" w:space="0"/>
                    <w:bottom w:val="single" w:color="auto" w:sz="4" w:space="0"/>
                    <w:right w:val="single" w:color="auto" w:sz="4" w:space="0"/>
                  </w:tcBorders>
                  <w:vAlign w:val="center"/>
                </w:tcPr>
                <w:p w14:paraId="489B3F15">
                  <w:pPr>
                    <w:pStyle w:val="82"/>
                    <w:ind w:firstLine="420"/>
                  </w:pPr>
                  <w:r>
                    <w:rPr>
                      <w:rFonts w:hint="eastAsia"/>
                      <w:bCs w:val="0"/>
                    </w:rPr>
                    <w:t>1、本项目属于</w:t>
                  </w:r>
                  <w:r>
                    <w:rPr>
                      <w:rFonts w:hint="eastAsia"/>
                    </w:rPr>
                    <w:t>《产业结构调整指导目录（</w:t>
                  </w:r>
                  <w:r>
                    <w:t>2024</w:t>
                  </w:r>
                  <w:r>
                    <w:rPr>
                      <w:rFonts w:hint="eastAsia"/>
                    </w:rPr>
                    <w:t>年本）》中鼓励类项目，不属于限制、淘汰类建设项目；</w:t>
                  </w:r>
                </w:p>
                <w:p w14:paraId="7E2518BE">
                  <w:pPr>
                    <w:pStyle w:val="82"/>
                    <w:ind w:firstLine="420"/>
                  </w:pPr>
                  <w:r>
                    <w:rPr>
                      <w:rFonts w:hint="eastAsia"/>
                    </w:rPr>
                    <w:t>2、本项目不属于煤化工企业；</w:t>
                  </w:r>
                </w:p>
                <w:p w14:paraId="5FB4D94D">
                  <w:pPr>
                    <w:pStyle w:val="82"/>
                    <w:ind w:firstLine="420"/>
                  </w:pPr>
                  <w:r>
                    <w:rPr>
                      <w:rFonts w:hint="eastAsia"/>
                      <w:bCs w:val="0"/>
                    </w:rPr>
                    <w:t>3、本项目为再生塑料颗粒加工扩建项目，不属于</w:t>
                  </w:r>
                  <w:r>
                    <w:rPr>
                      <w:rFonts w:hint="eastAsia"/>
                    </w:rPr>
                    <w:t>新建光气、氰化钠、氟乙酸甲酯等剧毒化学品以及硝酸铵、硝化棉等易制爆化学品；</w:t>
                  </w:r>
                </w:p>
                <w:p w14:paraId="7CD6B037">
                  <w:pPr>
                    <w:pStyle w:val="82"/>
                    <w:ind w:firstLine="420"/>
                    <w:rPr>
                      <w:bCs w:val="0"/>
                    </w:rPr>
                  </w:pPr>
                  <w:r>
                    <w:rPr>
                      <w:rFonts w:hint="eastAsia"/>
                    </w:rPr>
                    <w:t>4、</w:t>
                  </w:r>
                  <w:r>
                    <w:rPr>
                      <w:rFonts w:hint="eastAsia"/>
                      <w:bCs w:val="0"/>
                    </w:rPr>
                    <w:t>本项目为再生塑料颗粒加工扩建项目，不属于</w:t>
                  </w:r>
                  <w:r>
                    <w:rPr>
                      <w:rFonts w:hint="eastAsia"/>
                    </w:rPr>
                    <w:t>新建农药原药、有机颜料、染料及中间体、印染助剂、橡胶助剂项目（不包括鼓励类的产品和生产工艺）；</w:t>
                  </w:r>
                </w:p>
                <w:p w14:paraId="0AA2693E">
                  <w:pPr>
                    <w:pStyle w:val="82"/>
                    <w:ind w:firstLine="420"/>
                    <w:rPr>
                      <w:bCs w:val="0"/>
                    </w:rPr>
                  </w:pPr>
                  <w:r>
                    <w:rPr>
                      <w:rFonts w:hint="eastAsia"/>
                      <w:bCs w:val="0"/>
                    </w:rPr>
                    <w:t>5、本项目不属于</w:t>
                  </w:r>
                  <w:r>
                    <w:rPr>
                      <w:rFonts w:hint="eastAsia"/>
                    </w:rPr>
                    <w:t>生产和使用高</w:t>
                  </w:r>
                  <w:r>
                    <w:t>VOCs</w:t>
                  </w:r>
                  <w:r>
                    <w:rPr>
                      <w:rFonts w:hint="eastAsia"/>
                    </w:rPr>
                    <w:t>含量的溶剂型涂料、油墨和胶黏剂等项目。</w:t>
                  </w:r>
                </w:p>
              </w:tc>
              <w:tc>
                <w:tcPr>
                  <w:tcW w:w="555" w:type="dxa"/>
                  <w:tcBorders>
                    <w:top w:val="single" w:color="auto" w:sz="4" w:space="0"/>
                    <w:left w:val="single" w:color="auto" w:sz="4" w:space="0"/>
                    <w:bottom w:val="single" w:color="auto" w:sz="4" w:space="0"/>
                    <w:right w:val="nil"/>
                  </w:tcBorders>
                  <w:vAlign w:val="center"/>
                </w:tcPr>
                <w:p w14:paraId="13AC17FD">
                  <w:pPr>
                    <w:jc w:val="center"/>
                    <w:rPr>
                      <w:rFonts w:hint="eastAsia" w:ascii="宋体" w:hAnsi="宋体"/>
                    </w:rPr>
                  </w:pPr>
                  <w:r>
                    <w:rPr>
                      <w:rFonts w:ascii="宋体" w:hAnsi="宋体"/>
                    </w:rPr>
                    <w:t>不属于</w:t>
                  </w:r>
                  <w:r>
                    <w:rPr>
                      <w:rFonts w:hint="eastAsia" w:ascii="宋体" w:hAnsi="宋体"/>
                    </w:rPr>
                    <w:t>禁止</w:t>
                  </w:r>
                  <w:r>
                    <w:rPr>
                      <w:rFonts w:ascii="宋体" w:hAnsi="宋体"/>
                    </w:rPr>
                    <w:t>类</w:t>
                  </w:r>
                </w:p>
              </w:tc>
            </w:tr>
            <w:tr w14:paraId="0A0004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8" w:type="dxa"/>
                  <w:vMerge w:val="continue"/>
                  <w:tcBorders>
                    <w:left w:val="nil"/>
                    <w:right w:val="single" w:color="auto" w:sz="4" w:space="0"/>
                  </w:tcBorders>
                  <w:vAlign w:val="center"/>
                </w:tcPr>
                <w:p w14:paraId="7BDBC0B5">
                  <w:pPr>
                    <w:pStyle w:val="58"/>
                    <w:ind w:left="0"/>
                    <w:jc w:val="center"/>
                    <w:rPr>
                      <w:rFonts w:hint="eastAsia" w:cs="Times New Roman"/>
                      <w:b w:val="0"/>
                      <w:bCs w:val="0"/>
                      <w:sz w:val="21"/>
                      <w:szCs w:val="21"/>
                    </w:rPr>
                  </w:pPr>
                </w:p>
              </w:tc>
              <w:tc>
                <w:tcPr>
                  <w:tcW w:w="713" w:type="dxa"/>
                  <w:tcBorders>
                    <w:left w:val="single" w:color="auto" w:sz="4" w:space="0"/>
                    <w:bottom w:val="single" w:color="auto" w:sz="4" w:space="0"/>
                    <w:right w:val="single" w:color="auto" w:sz="4" w:space="0"/>
                  </w:tcBorders>
                  <w:vAlign w:val="center"/>
                </w:tcPr>
                <w:p w14:paraId="387CD338">
                  <w:pPr>
                    <w:pStyle w:val="86"/>
                  </w:pPr>
                  <w:r>
                    <w:t>污染物排放及资源利用</w:t>
                  </w:r>
                </w:p>
              </w:tc>
              <w:tc>
                <w:tcPr>
                  <w:tcW w:w="2756" w:type="dxa"/>
                  <w:tcBorders>
                    <w:left w:val="single" w:color="auto" w:sz="4" w:space="0"/>
                    <w:bottom w:val="single" w:color="auto" w:sz="4" w:space="0"/>
                    <w:right w:val="single" w:color="auto" w:sz="4" w:space="0"/>
                  </w:tcBorders>
                  <w:vAlign w:val="center"/>
                </w:tcPr>
                <w:p w14:paraId="1C3E3AC1">
                  <w:pPr>
                    <w:pStyle w:val="82"/>
                    <w:ind w:firstLine="420"/>
                    <w:rPr>
                      <w:kern w:val="2"/>
                      <w:szCs w:val="21"/>
                    </w:rPr>
                  </w:pPr>
                  <w:r>
                    <w:t>1</w:t>
                  </w:r>
                  <w:r>
                    <w:rPr>
                      <w:rFonts w:hint="eastAsia"/>
                    </w:rPr>
                    <w:t>、禁止新建燃煤锅炉项目；</w:t>
                  </w:r>
                </w:p>
                <w:p w14:paraId="27BFE1BD">
                  <w:pPr>
                    <w:pStyle w:val="82"/>
                    <w:ind w:firstLine="420"/>
                  </w:pPr>
                  <w:r>
                    <w:t>2</w:t>
                  </w:r>
                  <w:r>
                    <w:rPr>
                      <w:rFonts w:hint="eastAsia"/>
                    </w:rPr>
                    <w:t>、禁止清洁生产水平达不到国内先进水平的项目。</w:t>
                  </w:r>
                </w:p>
              </w:tc>
              <w:tc>
                <w:tcPr>
                  <w:tcW w:w="3384" w:type="dxa"/>
                  <w:tcBorders>
                    <w:top w:val="single" w:color="auto" w:sz="4" w:space="0"/>
                    <w:left w:val="single" w:color="auto" w:sz="4" w:space="0"/>
                    <w:bottom w:val="single" w:color="auto" w:sz="4" w:space="0"/>
                    <w:right w:val="single" w:color="auto" w:sz="4" w:space="0"/>
                  </w:tcBorders>
                  <w:vAlign w:val="center"/>
                </w:tcPr>
                <w:p w14:paraId="676AC0F0">
                  <w:pPr>
                    <w:pStyle w:val="82"/>
                    <w:ind w:firstLine="420"/>
                    <w:rPr>
                      <w:bCs w:val="0"/>
                    </w:rPr>
                  </w:pPr>
                  <w:r>
                    <w:rPr>
                      <w:rFonts w:hint="eastAsia"/>
                      <w:bCs w:val="0"/>
                    </w:rPr>
                    <w:t>1、本项目不涉及燃煤锅炉；</w:t>
                  </w:r>
                </w:p>
                <w:p w14:paraId="0743D3B3">
                  <w:pPr>
                    <w:pStyle w:val="82"/>
                    <w:ind w:firstLine="420"/>
                    <w:rPr>
                      <w:bCs w:val="0"/>
                    </w:rPr>
                  </w:pPr>
                  <w:r>
                    <w:rPr>
                      <w:rFonts w:hint="eastAsia"/>
                      <w:bCs w:val="0"/>
                    </w:rPr>
                    <w:t>2、本项目清洁生产水平能够达到</w:t>
                  </w:r>
                  <w:r>
                    <w:rPr>
                      <w:rFonts w:hint="eastAsia"/>
                    </w:rPr>
                    <w:t>国内先进水平的项目。</w:t>
                  </w:r>
                </w:p>
              </w:tc>
              <w:tc>
                <w:tcPr>
                  <w:tcW w:w="555" w:type="dxa"/>
                  <w:tcBorders>
                    <w:top w:val="single" w:color="auto" w:sz="4" w:space="0"/>
                    <w:left w:val="single" w:color="auto" w:sz="4" w:space="0"/>
                    <w:bottom w:val="single" w:color="auto" w:sz="4" w:space="0"/>
                    <w:right w:val="nil"/>
                  </w:tcBorders>
                  <w:vAlign w:val="center"/>
                </w:tcPr>
                <w:p w14:paraId="501D2ACE">
                  <w:pPr>
                    <w:jc w:val="center"/>
                    <w:rPr>
                      <w:rFonts w:hint="eastAsia" w:ascii="宋体" w:hAnsi="宋体"/>
                    </w:rPr>
                  </w:pPr>
                  <w:r>
                    <w:rPr>
                      <w:rFonts w:ascii="宋体" w:hAnsi="宋体"/>
                    </w:rPr>
                    <w:t>不属于</w:t>
                  </w:r>
                  <w:r>
                    <w:rPr>
                      <w:rFonts w:hint="eastAsia" w:ascii="宋体" w:hAnsi="宋体"/>
                    </w:rPr>
                    <w:t>禁止</w:t>
                  </w:r>
                  <w:r>
                    <w:rPr>
                      <w:rFonts w:ascii="宋体" w:hAnsi="宋体"/>
                    </w:rPr>
                    <w:t>类</w:t>
                  </w:r>
                </w:p>
              </w:tc>
            </w:tr>
            <w:tr w14:paraId="48AB66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8" w:type="dxa"/>
                  <w:vMerge w:val="continue"/>
                  <w:tcBorders>
                    <w:left w:val="nil"/>
                    <w:bottom w:val="single" w:color="auto" w:sz="4" w:space="0"/>
                    <w:right w:val="single" w:color="auto" w:sz="4" w:space="0"/>
                  </w:tcBorders>
                  <w:vAlign w:val="center"/>
                </w:tcPr>
                <w:p w14:paraId="3DADA018">
                  <w:pPr>
                    <w:pStyle w:val="58"/>
                    <w:ind w:left="0"/>
                    <w:jc w:val="center"/>
                    <w:rPr>
                      <w:rFonts w:hint="eastAsia" w:cs="Times New Roman"/>
                      <w:b w:val="0"/>
                      <w:bCs w:val="0"/>
                      <w:sz w:val="21"/>
                      <w:szCs w:val="21"/>
                    </w:rPr>
                  </w:pPr>
                </w:p>
              </w:tc>
              <w:tc>
                <w:tcPr>
                  <w:tcW w:w="713" w:type="dxa"/>
                  <w:tcBorders>
                    <w:left w:val="single" w:color="auto" w:sz="4" w:space="0"/>
                    <w:bottom w:val="single" w:color="auto" w:sz="4" w:space="0"/>
                    <w:right w:val="single" w:color="auto" w:sz="4" w:space="0"/>
                  </w:tcBorders>
                  <w:vAlign w:val="center"/>
                </w:tcPr>
                <w:p w14:paraId="48E39FD2">
                  <w:pPr>
                    <w:pStyle w:val="86"/>
                  </w:pPr>
                  <w:r>
                    <w:t>环境风险</w:t>
                  </w:r>
                </w:p>
              </w:tc>
              <w:tc>
                <w:tcPr>
                  <w:tcW w:w="2756" w:type="dxa"/>
                  <w:tcBorders>
                    <w:left w:val="single" w:color="auto" w:sz="4" w:space="0"/>
                    <w:bottom w:val="single" w:color="auto" w:sz="4" w:space="0"/>
                    <w:right w:val="single" w:color="auto" w:sz="4" w:space="0"/>
                  </w:tcBorders>
                  <w:vAlign w:val="center"/>
                </w:tcPr>
                <w:p w14:paraId="5F7712BB">
                  <w:pPr>
                    <w:pStyle w:val="82"/>
                    <w:ind w:firstLine="420"/>
                  </w:pPr>
                  <w:r>
                    <w:rPr>
                      <w:rFonts w:hint="eastAsia"/>
                    </w:rPr>
                    <w:t>禁止新建与环境敏感目标间距不能满足建设项目环评文件或者行业规定的防护距离要求的项目。</w:t>
                  </w:r>
                </w:p>
              </w:tc>
              <w:tc>
                <w:tcPr>
                  <w:tcW w:w="3384" w:type="dxa"/>
                  <w:tcBorders>
                    <w:top w:val="single" w:color="auto" w:sz="4" w:space="0"/>
                    <w:left w:val="single" w:color="auto" w:sz="4" w:space="0"/>
                    <w:bottom w:val="single" w:color="auto" w:sz="4" w:space="0"/>
                    <w:right w:val="single" w:color="auto" w:sz="4" w:space="0"/>
                  </w:tcBorders>
                  <w:vAlign w:val="center"/>
                </w:tcPr>
                <w:p w14:paraId="761668CC">
                  <w:pPr>
                    <w:pStyle w:val="82"/>
                    <w:ind w:firstLine="420"/>
                    <w:rPr>
                      <w:bCs w:val="0"/>
                    </w:rPr>
                  </w:pPr>
                  <w:r>
                    <w:rPr>
                      <w:rFonts w:hint="eastAsia"/>
                      <w:bCs w:val="0"/>
                    </w:rPr>
                    <w:t>本项目无需设置防护距离</w:t>
                  </w:r>
                </w:p>
              </w:tc>
              <w:tc>
                <w:tcPr>
                  <w:tcW w:w="555" w:type="dxa"/>
                  <w:tcBorders>
                    <w:top w:val="single" w:color="auto" w:sz="4" w:space="0"/>
                    <w:left w:val="single" w:color="auto" w:sz="4" w:space="0"/>
                    <w:bottom w:val="single" w:color="auto" w:sz="4" w:space="0"/>
                    <w:right w:val="nil"/>
                  </w:tcBorders>
                  <w:vAlign w:val="center"/>
                </w:tcPr>
                <w:p w14:paraId="54BF4448">
                  <w:pPr>
                    <w:jc w:val="center"/>
                    <w:rPr>
                      <w:rFonts w:hint="eastAsia" w:ascii="宋体" w:hAnsi="宋体"/>
                    </w:rPr>
                  </w:pPr>
                  <w:r>
                    <w:rPr>
                      <w:rFonts w:ascii="宋体" w:hAnsi="宋体"/>
                    </w:rPr>
                    <w:t>不属于</w:t>
                  </w:r>
                  <w:r>
                    <w:rPr>
                      <w:rFonts w:hint="eastAsia" w:ascii="宋体" w:hAnsi="宋体"/>
                    </w:rPr>
                    <w:t>禁止</w:t>
                  </w:r>
                  <w:r>
                    <w:rPr>
                      <w:rFonts w:ascii="宋体" w:hAnsi="宋体"/>
                    </w:rPr>
                    <w:t>类</w:t>
                  </w:r>
                </w:p>
              </w:tc>
            </w:tr>
          </w:tbl>
          <w:p w14:paraId="2B42227C">
            <w:pPr>
              <w:pStyle w:val="28"/>
              <w:ind w:firstLine="480"/>
            </w:pPr>
            <w:r>
              <w:rPr>
                <w:rFonts w:hint="eastAsia"/>
              </w:rPr>
              <w:t>由上表可知，本项目符合获嘉县产业集聚区规划环评的结论</w:t>
            </w:r>
            <w:r>
              <w:t>。</w:t>
            </w:r>
          </w:p>
          <w:p w14:paraId="2331B40F">
            <w:pPr>
              <w:pStyle w:val="28"/>
              <w:ind w:firstLine="482"/>
              <w:rPr>
                <w:b/>
                <w:bCs/>
              </w:rPr>
            </w:pPr>
            <w:r>
              <w:rPr>
                <w:rFonts w:hint="eastAsia"/>
                <w:b/>
                <w:bCs/>
              </w:rPr>
              <w:t>2、</w:t>
            </w:r>
            <w:r>
              <w:rPr>
                <w:b/>
                <w:bCs/>
              </w:rPr>
              <w:t>本项目与</w:t>
            </w:r>
            <w:r>
              <w:rPr>
                <w:rFonts w:hint="eastAsia"/>
                <w:b/>
                <w:bCs/>
              </w:rPr>
              <w:t>《获嘉县产业集聚区总体发展规划（2016-2020）调整方案环境影响报告书》</w:t>
            </w:r>
            <w:r>
              <w:rPr>
                <w:b/>
                <w:bCs/>
              </w:rPr>
              <w:t>审查意见的相符性分析</w:t>
            </w:r>
          </w:p>
          <w:p w14:paraId="6E2463E2">
            <w:pPr>
              <w:pStyle w:val="28"/>
              <w:ind w:firstLine="480"/>
            </w:pPr>
            <w:r>
              <w:t xml:space="preserve"> </w:t>
            </w:r>
            <w:r>
              <w:rPr>
                <w:rFonts w:hint="eastAsia"/>
              </w:rPr>
              <w:t>具体情况见下表：</w:t>
            </w:r>
          </w:p>
          <w:p w14:paraId="2C2186D6">
            <w:pPr>
              <w:pStyle w:val="67"/>
              <w:ind w:firstLine="480"/>
            </w:pPr>
            <w:r>
              <w:rPr>
                <w:rFonts w:hint="eastAsia"/>
              </w:rPr>
              <w:t xml:space="preserve">    </w:t>
            </w:r>
            <w:r>
              <w:t>与集聚区规划环评审查意见相符性分析一览表</w:t>
            </w:r>
          </w:p>
          <w:tbl>
            <w:tblPr>
              <w:tblStyle w:val="20"/>
              <w:tblW w:w="7926" w:type="dxa"/>
              <w:tblInd w:w="13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8"/>
              <w:gridCol w:w="3885"/>
              <w:gridCol w:w="2811"/>
              <w:gridCol w:w="682"/>
            </w:tblGrid>
            <w:tr w14:paraId="7A3331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tcBorders>
                    <w:top w:val="single" w:color="auto" w:sz="8" w:space="0"/>
                    <w:left w:val="nil"/>
                    <w:bottom w:val="single" w:color="auto" w:sz="4" w:space="0"/>
                    <w:right w:val="single" w:color="auto" w:sz="4" w:space="0"/>
                  </w:tcBorders>
                  <w:vAlign w:val="center"/>
                </w:tcPr>
                <w:p w14:paraId="1D3E8D85">
                  <w:pPr>
                    <w:jc w:val="center"/>
                    <w:rPr>
                      <w:b/>
                      <w:bCs/>
                      <w:szCs w:val="21"/>
                    </w:rPr>
                  </w:pPr>
                  <w:r>
                    <w:rPr>
                      <w:rFonts w:ascii="宋体" w:hAnsi="宋体"/>
                      <w:b/>
                      <w:bCs/>
                    </w:rPr>
                    <w:t>序号</w:t>
                  </w:r>
                </w:p>
              </w:tc>
              <w:tc>
                <w:tcPr>
                  <w:tcW w:w="3885" w:type="dxa"/>
                  <w:tcBorders>
                    <w:top w:val="single" w:color="auto" w:sz="8" w:space="0"/>
                    <w:left w:val="single" w:color="auto" w:sz="4" w:space="0"/>
                    <w:bottom w:val="single" w:color="auto" w:sz="4" w:space="0"/>
                    <w:right w:val="single" w:color="auto" w:sz="4" w:space="0"/>
                  </w:tcBorders>
                  <w:vAlign w:val="center"/>
                </w:tcPr>
                <w:p w14:paraId="03C7EFA0">
                  <w:pPr>
                    <w:jc w:val="center"/>
                    <w:rPr>
                      <w:b/>
                      <w:bCs/>
                    </w:rPr>
                  </w:pPr>
                  <w:r>
                    <w:rPr>
                      <w:rFonts w:ascii="宋体" w:hAnsi="宋体"/>
                      <w:b/>
                      <w:bCs/>
                    </w:rPr>
                    <w:t>规划环评审查意见</w:t>
                  </w:r>
                </w:p>
              </w:tc>
              <w:tc>
                <w:tcPr>
                  <w:tcW w:w="2811" w:type="dxa"/>
                  <w:tcBorders>
                    <w:top w:val="single" w:color="auto" w:sz="8" w:space="0"/>
                    <w:left w:val="single" w:color="auto" w:sz="4" w:space="0"/>
                    <w:bottom w:val="single" w:color="auto" w:sz="4" w:space="0"/>
                    <w:right w:val="single" w:color="auto" w:sz="4" w:space="0"/>
                  </w:tcBorders>
                  <w:vAlign w:val="center"/>
                </w:tcPr>
                <w:p w14:paraId="28408B78">
                  <w:pPr>
                    <w:jc w:val="center"/>
                    <w:rPr>
                      <w:rFonts w:hint="eastAsia" w:ascii="宋体" w:hAnsi="宋体"/>
                      <w:b/>
                      <w:bCs/>
                    </w:rPr>
                  </w:pPr>
                  <w:r>
                    <w:rPr>
                      <w:rFonts w:ascii="宋体" w:hAnsi="宋体"/>
                      <w:b/>
                      <w:bCs/>
                    </w:rPr>
                    <w:t>本项目</w:t>
                  </w:r>
                  <w:r>
                    <w:rPr>
                      <w:rFonts w:hint="eastAsia" w:ascii="宋体" w:hAnsi="宋体"/>
                      <w:b/>
                      <w:bCs/>
                    </w:rPr>
                    <w:t>情况</w:t>
                  </w:r>
                </w:p>
              </w:tc>
              <w:tc>
                <w:tcPr>
                  <w:tcW w:w="682" w:type="dxa"/>
                  <w:tcBorders>
                    <w:top w:val="single" w:color="auto" w:sz="8" w:space="0"/>
                    <w:left w:val="single" w:color="auto" w:sz="4" w:space="0"/>
                    <w:bottom w:val="single" w:color="auto" w:sz="4" w:space="0"/>
                    <w:right w:val="nil"/>
                  </w:tcBorders>
                  <w:vAlign w:val="center"/>
                </w:tcPr>
                <w:p w14:paraId="4F3332DD">
                  <w:pPr>
                    <w:jc w:val="center"/>
                    <w:rPr>
                      <w:b/>
                      <w:bCs/>
                    </w:rPr>
                  </w:pPr>
                  <w:r>
                    <w:rPr>
                      <w:rFonts w:ascii="宋体" w:hAnsi="宋体"/>
                      <w:b/>
                      <w:bCs/>
                    </w:rPr>
                    <w:t>相符性</w:t>
                  </w:r>
                </w:p>
              </w:tc>
            </w:tr>
            <w:tr w14:paraId="5D58B1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tcBorders>
                    <w:top w:val="single" w:color="auto" w:sz="4" w:space="0"/>
                    <w:left w:val="nil"/>
                    <w:bottom w:val="single" w:color="auto" w:sz="4" w:space="0"/>
                    <w:right w:val="single" w:color="auto" w:sz="4" w:space="0"/>
                  </w:tcBorders>
                  <w:vAlign w:val="center"/>
                </w:tcPr>
                <w:p w14:paraId="190F7C03">
                  <w:pPr>
                    <w:pStyle w:val="58"/>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1</w:t>
                  </w:r>
                </w:p>
              </w:tc>
              <w:tc>
                <w:tcPr>
                  <w:tcW w:w="3885" w:type="dxa"/>
                  <w:tcBorders>
                    <w:top w:val="single" w:color="auto" w:sz="4" w:space="0"/>
                    <w:left w:val="single" w:color="auto" w:sz="4" w:space="0"/>
                    <w:bottom w:val="single" w:color="auto" w:sz="4" w:space="0"/>
                    <w:right w:val="single" w:color="auto" w:sz="4" w:space="0"/>
                  </w:tcBorders>
                  <w:vAlign w:val="center"/>
                </w:tcPr>
                <w:p w14:paraId="099324E5">
                  <w:pPr>
                    <w:pStyle w:val="82"/>
                    <w:ind w:firstLine="420"/>
                    <w:rPr>
                      <w:bCs w:val="0"/>
                    </w:rPr>
                  </w:pPr>
                  <w:r>
                    <w:rPr>
                      <w:rFonts w:hint="eastAsia"/>
                      <w:bCs w:val="0"/>
                    </w:rPr>
                    <w:t>(一)合理用地布局</w:t>
                  </w:r>
                </w:p>
                <w:p w14:paraId="041EE0E2">
                  <w:pPr>
                    <w:pStyle w:val="82"/>
                    <w:ind w:firstLine="420"/>
                    <w:rPr>
                      <w:bCs w:val="0"/>
                    </w:rPr>
                  </w:pPr>
                  <w:r>
                    <w:rPr>
                      <w:rFonts w:hint="eastAsia"/>
                      <w:bCs w:val="0"/>
                    </w:rPr>
                    <w:t>进一步加强与城市总体规划、土地利用规划的衔接，保持规划之间一致；优化用地布局，在开发过程中不应随意改变各用地功能区的使用功能，并注重节约集约用地；工业区、生活居住区之间设置绿化隔离带，减轻相互之间的不良影响；认真落实《报告书》提出的对现有与集聚区主导产业规划或空间规划不相符的企业调整建议；加快区内现有项目卫生防护距离内居民搬迁工作，区内新建项目的大气环境防护范围内，不得规划新建居住区、学校、医院等环境敏感目标</w:t>
                  </w:r>
                  <w:r>
                    <w:rPr>
                      <w:bCs w:val="0"/>
                    </w:rPr>
                    <w:t>。</w:t>
                  </w:r>
                </w:p>
              </w:tc>
              <w:tc>
                <w:tcPr>
                  <w:tcW w:w="2811" w:type="dxa"/>
                  <w:tcBorders>
                    <w:top w:val="single" w:color="auto" w:sz="4" w:space="0"/>
                    <w:left w:val="single" w:color="auto" w:sz="4" w:space="0"/>
                    <w:bottom w:val="single" w:color="auto" w:sz="4" w:space="0"/>
                    <w:right w:val="single" w:color="auto" w:sz="4" w:space="0"/>
                  </w:tcBorders>
                  <w:vAlign w:val="center"/>
                </w:tcPr>
                <w:p w14:paraId="2FA5F793">
                  <w:pPr>
                    <w:pStyle w:val="82"/>
                    <w:ind w:firstLine="420"/>
                    <w:rPr>
                      <w:bCs w:val="0"/>
                      <w:sz w:val="22"/>
                      <w:szCs w:val="22"/>
                    </w:rPr>
                  </w:pPr>
                  <w:r>
                    <w:rPr>
                      <w:bCs w:val="0"/>
                    </w:rPr>
                    <w:t>本项目位于</w:t>
                  </w:r>
                  <w:r>
                    <w:rPr>
                      <w:rFonts w:hint="eastAsia"/>
                      <w:bCs w:val="0"/>
                    </w:rPr>
                    <w:t>河南省新乡市获嘉县仁爱路与新华街南段交叉口西北产业集聚区二期1号</w:t>
                  </w:r>
                  <w:r>
                    <w:rPr>
                      <w:bCs w:val="0"/>
                    </w:rPr>
                    <w:t>，</w:t>
                  </w:r>
                  <w:r>
                    <w:rPr>
                      <w:rFonts w:hint="eastAsia"/>
                      <w:bCs w:val="0"/>
                    </w:rPr>
                    <w:t>根据获嘉县产业集聚区总体发展规划（2016-2020）-北部产业空间布局图（见附图三）可知，项目选址位于新型建材区，与</w:t>
                  </w:r>
                  <w:r>
                    <w:rPr>
                      <w:bCs w:val="0"/>
                    </w:rPr>
                    <w:t>园区功能布局和产业规划</w:t>
                  </w:r>
                  <w:r>
                    <w:rPr>
                      <w:rFonts w:hint="eastAsia"/>
                      <w:bCs w:val="0"/>
                    </w:rPr>
                    <w:t>不冲突。本项目无大气环境防护范围。</w:t>
                  </w:r>
                </w:p>
              </w:tc>
              <w:tc>
                <w:tcPr>
                  <w:tcW w:w="682" w:type="dxa"/>
                  <w:tcBorders>
                    <w:top w:val="single" w:color="auto" w:sz="4" w:space="0"/>
                    <w:left w:val="single" w:color="auto" w:sz="4" w:space="0"/>
                    <w:bottom w:val="single" w:color="auto" w:sz="4" w:space="0"/>
                    <w:right w:val="nil"/>
                  </w:tcBorders>
                  <w:vAlign w:val="center"/>
                </w:tcPr>
                <w:p w14:paraId="0D179917">
                  <w:pPr>
                    <w:jc w:val="center"/>
                    <w:rPr>
                      <w:szCs w:val="21"/>
                    </w:rPr>
                  </w:pPr>
                  <w:r>
                    <w:rPr>
                      <w:rFonts w:ascii="宋体" w:hAnsi="宋体"/>
                    </w:rPr>
                    <w:t>符合</w:t>
                  </w:r>
                </w:p>
              </w:tc>
            </w:tr>
            <w:tr w14:paraId="337B62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tcBorders>
                    <w:top w:val="single" w:color="auto" w:sz="4" w:space="0"/>
                    <w:left w:val="nil"/>
                    <w:bottom w:val="single" w:color="auto" w:sz="4" w:space="0"/>
                    <w:right w:val="single" w:color="auto" w:sz="4" w:space="0"/>
                  </w:tcBorders>
                  <w:vAlign w:val="center"/>
                </w:tcPr>
                <w:p w14:paraId="2EA42EE5">
                  <w:pPr>
                    <w:pStyle w:val="58"/>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2</w:t>
                  </w:r>
                </w:p>
              </w:tc>
              <w:tc>
                <w:tcPr>
                  <w:tcW w:w="3885" w:type="dxa"/>
                  <w:tcBorders>
                    <w:top w:val="single" w:color="auto" w:sz="4" w:space="0"/>
                    <w:left w:val="single" w:color="auto" w:sz="4" w:space="0"/>
                    <w:bottom w:val="single" w:color="auto" w:sz="4" w:space="0"/>
                    <w:right w:val="single" w:color="auto" w:sz="4" w:space="0"/>
                  </w:tcBorders>
                  <w:vAlign w:val="center"/>
                </w:tcPr>
                <w:p w14:paraId="48A2ACA3">
                  <w:pPr>
                    <w:pStyle w:val="82"/>
                    <w:ind w:firstLine="420"/>
                    <w:rPr>
                      <w:bCs w:val="0"/>
                    </w:rPr>
                  </w:pPr>
                  <w:r>
                    <w:rPr>
                      <w:rFonts w:hint="eastAsia"/>
                      <w:bCs w:val="0"/>
                    </w:rPr>
                    <w:t>(二)优化产业结构</w:t>
                  </w:r>
                </w:p>
                <w:p w14:paraId="206878FD">
                  <w:pPr>
                    <w:pStyle w:val="82"/>
                    <w:ind w:firstLine="420"/>
                    <w:rPr>
                      <w:bCs w:val="0"/>
                    </w:rPr>
                  </w:pPr>
                  <w:r>
                    <w:rPr>
                      <w:rFonts w:hint="eastAsia"/>
                      <w:bCs w:val="0"/>
                    </w:rPr>
                    <w:t>入驻项目应遵循循环经济理念，实施清洁生产，逐步优化产业结构，构筑循环经济产业链；鼓励发展主导产业，并不断完善产业链条，北区城南片区发展以新材料为主要方向的化工项目，积极发展高分子粘合剂、涂料、环保基料以及先进陶瓷材料，严格限制精细有机化工合成产业发展；现有煤化工企业维持现状、禁止扩大用地规模，立足于现有装置和产品延伸产业链、通过工艺或环保设施提升改造促进节能减排和降低环境风险，提升改造应严格落实《河南省传统煤化工行业转型发展行动方案(2018-2020年)》(豫政办〔2018〕82号)要求；禁止新建光气、氰化钠、氟乙酸甲酯等剧毒化学品以及硝酸铵、硝化棉等易制爆化学品；禁止新建农药原药、有机颜料、染料及中间体、印染助剂、橡胶助剂项目(鼓励类的产品和生产工艺除外)以及使用高VOCs含量的溶剂型涂料、油墨和胶黏剂项目。北区城东片区禁止入驻化工项目，在原装备制造业基础上，优先引进科技含量高、污染小、能耗低项目，鼓励实施集中喷涂、集中电镀。南区禁止入驻化工项目</w:t>
                  </w:r>
                  <w:r>
                    <w:rPr>
                      <w:bCs w:val="0"/>
                    </w:rPr>
                    <w:t>。</w:t>
                  </w:r>
                </w:p>
              </w:tc>
              <w:tc>
                <w:tcPr>
                  <w:tcW w:w="2811" w:type="dxa"/>
                  <w:tcBorders>
                    <w:top w:val="single" w:color="auto" w:sz="4" w:space="0"/>
                    <w:left w:val="single" w:color="auto" w:sz="4" w:space="0"/>
                    <w:bottom w:val="single" w:color="auto" w:sz="4" w:space="0"/>
                    <w:right w:val="single" w:color="auto" w:sz="4" w:space="0"/>
                  </w:tcBorders>
                  <w:vAlign w:val="center"/>
                </w:tcPr>
                <w:p w14:paraId="62F64605">
                  <w:pPr>
                    <w:pStyle w:val="82"/>
                    <w:ind w:firstLine="420"/>
                    <w:rPr>
                      <w:b/>
                    </w:rPr>
                  </w:pPr>
                  <w:r>
                    <w:rPr>
                      <w:bCs w:val="0"/>
                    </w:rPr>
                    <w:t>本项目为</w:t>
                  </w:r>
                  <w:r>
                    <w:rPr>
                      <w:rFonts w:hint="eastAsia"/>
                      <w:bCs w:val="0"/>
                    </w:rPr>
                    <w:t>再生塑料颗粒加工扩建项目，遵循循环经济理念，实施清洁生产，构筑循环经济产业链。本项目不属于精细有机化工合成产业，不属于现有煤化工企业；不属于新建光气、氰化钠、氟乙酸甲酯等剧毒化</w:t>
                  </w:r>
                  <w:r>
                    <w:rPr>
                      <w:rFonts w:hint="eastAsia"/>
                    </w:rPr>
                    <w:t>学品以及硝酸铵、硝化棉等易制爆化学品；不属于新建农药原药、有机颜料、染料及中间体、印染助剂、橡胶助剂项目(鼓励类的产品和生产工艺除外)以及使用高VOCs含量的溶剂型涂料、油墨和胶黏剂项目。</w:t>
                  </w:r>
                </w:p>
              </w:tc>
              <w:tc>
                <w:tcPr>
                  <w:tcW w:w="682" w:type="dxa"/>
                  <w:tcBorders>
                    <w:top w:val="single" w:color="auto" w:sz="4" w:space="0"/>
                    <w:left w:val="single" w:color="auto" w:sz="4" w:space="0"/>
                    <w:bottom w:val="single" w:color="auto" w:sz="4" w:space="0"/>
                    <w:right w:val="nil"/>
                  </w:tcBorders>
                  <w:vAlign w:val="center"/>
                </w:tcPr>
                <w:p w14:paraId="1CE90BEE">
                  <w:pPr>
                    <w:jc w:val="center"/>
                    <w:rPr>
                      <w:szCs w:val="21"/>
                    </w:rPr>
                  </w:pPr>
                  <w:r>
                    <w:rPr>
                      <w:rFonts w:ascii="宋体" w:hAnsi="宋体"/>
                    </w:rPr>
                    <w:t>符合</w:t>
                  </w:r>
                </w:p>
              </w:tc>
            </w:tr>
            <w:tr w14:paraId="0EB8A7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tcBorders>
                    <w:top w:val="single" w:color="auto" w:sz="4" w:space="0"/>
                    <w:left w:val="nil"/>
                    <w:bottom w:val="single" w:color="auto" w:sz="4" w:space="0"/>
                    <w:right w:val="single" w:color="auto" w:sz="4" w:space="0"/>
                  </w:tcBorders>
                  <w:vAlign w:val="center"/>
                </w:tcPr>
                <w:p w14:paraId="4D6FDB6F">
                  <w:pPr>
                    <w:pStyle w:val="58"/>
                    <w:ind w:left="0"/>
                    <w:jc w:val="center"/>
                    <w:rPr>
                      <w:rFonts w:ascii="Times New Roman" w:hAnsi="Times New Roman" w:cs="Times New Roman"/>
                      <w:b w:val="0"/>
                      <w:bCs w:val="0"/>
                      <w:sz w:val="21"/>
                      <w:szCs w:val="21"/>
                    </w:rPr>
                  </w:pPr>
                  <w:r>
                    <w:rPr>
                      <w:rFonts w:hint="eastAsia" w:ascii="Times New Roman" w:hAnsi="Times New Roman" w:cs="Times New Roman"/>
                      <w:b w:val="0"/>
                      <w:bCs w:val="0"/>
                      <w:sz w:val="21"/>
                      <w:szCs w:val="21"/>
                    </w:rPr>
                    <w:t>3</w:t>
                  </w:r>
                </w:p>
              </w:tc>
              <w:tc>
                <w:tcPr>
                  <w:tcW w:w="3885" w:type="dxa"/>
                  <w:tcBorders>
                    <w:top w:val="single" w:color="auto" w:sz="4" w:space="0"/>
                    <w:left w:val="single" w:color="auto" w:sz="4" w:space="0"/>
                    <w:bottom w:val="single" w:color="auto" w:sz="4" w:space="0"/>
                    <w:right w:val="single" w:color="auto" w:sz="4" w:space="0"/>
                  </w:tcBorders>
                  <w:vAlign w:val="center"/>
                </w:tcPr>
                <w:p w14:paraId="56B70D25">
                  <w:pPr>
                    <w:pStyle w:val="82"/>
                    <w:ind w:firstLine="420"/>
                    <w:rPr>
                      <w:bCs w:val="0"/>
                    </w:rPr>
                  </w:pPr>
                  <w:r>
                    <w:rPr>
                      <w:rFonts w:hint="eastAsia"/>
                      <w:bCs w:val="0"/>
                    </w:rPr>
                    <w:t>(三)尽快完善环保基础设施</w:t>
                  </w:r>
                </w:p>
                <w:p w14:paraId="47802540">
                  <w:pPr>
                    <w:pStyle w:val="82"/>
                    <w:ind w:firstLine="420"/>
                    <w:rPr>
                      <w:bCs w:val="0"/>
                    </w:rPr>
                  </w:pPr>
                  <w:r>
                    <w:rPr>
                      <w:rFonts w:hint="eastAsia"/>
                      <w:bCs w:val="0"/>
                    </w:rPr>
                    <w:t>按照“清污分流、雨污分流、中水回用”的要求，加快建设集聚区配套的污水处理厂扩建和中水深度处理回用工程，完善配套污水管网，确保入区企业外排废水全部经管网收集后进入污水处理厂处理，入园企业均不得单独设置废水排放口，减少对纳污水体的影响。进一步优化能源结构，加快集中供热及配套管网建设，实现集中供热。</w:t>
                  </w:r>
                </w:p>
                <w:p w14:paraId="5742126E">
                  <w:pPr>
                    <w:pStyle w:val="82"/>
                    <w:ind w:firstLine="420"/>
                    <w:rPr>
                      <w:bCs w:val="0"/>
                    </w:rPr>
                  </w:pPr>
                  <w:r>
                    <w:rPr>
                      <w:rFonts w:hint="eastAsia"/>
                      <w:bCs w:val="0"/>
                    </w:rPr>
                    <w:t>按照循环经济的要求，提高固体废物的综合利用率，积极探索固废综合利用途径，提高一般工业固废综合利用率，严禁企业随意弃置；危险固废的收集、贮存应满足《危险废物贮存污染控制标准》(GB18597-2001)的要求，并送有资质的危险废物处置单位处置，危险废物的转运应执行《危险废物转移联单管理办法》的有关规定。</w:t>
                  </w:r>
                </w:p>
              </w:tc>
              <w:tc>
                <w:tcPr>
                  <w:tcW w:w="2811" w:type="dxa"/>
                  <w:tcBorders>
                    <w:top w:val="single" w:color="auto" w:sz="4" w:space="0"/>
                    <w:left w:val="single" w:color="auto" w:sz="4" w:space="0"/>
                    <w:bottom w:val="single" w:color="auto" w:sz="4" w:space="0"/>
                    <w:right w:val="single" w:color="auto" w:sz="4" w:space="0"/>
                  </w:tcBorders>
                  <w:vAlign w:val="center"/>
                </w:tcPr>
                <w:p w14:paraId="36859481">
                  <w:pPr>
                    <w:pStyle w:val="82"/>
                    <w:ind w:firstLine="420"/>
                    <w:rPr>
                      <w:bCs w:val="0"/>
                    </w:rPr>
                  </w:pPr>
                  <w:r>
                    <w:rPr>
                      <w:rFonts w:hint="eastAsia"/>
                      <w:bCs w:val="0"/>
                    </w:rPr>
                    <w:t>本项目生活污水经化粪池处理，生产废水经厂内一体化污水处理站处理，共同经管网排入获嘉县香山家园污水处理厂进一步处理。</w:t>
                  </w:r>
                </w:p>
                <w:p w14:paraId="1CC9EF63">
                  <w:pPr>
                    <w:pStyle w:val="82"/>
                    <w:ind w:firstLine="420"/>
                    <w:rPr>
                      <w:bCs w:val="0"/>
                    </w:rPr>
                  </w:pPr>
                  <w:r>
                    <w:rPr>
                      <w:rFonts w:hint="eastAsia"/>
                      <w:bCs w:val="0"/>
                    </w:rPr>
                    <w:t>本项目再生塑料颗粒加工项目，提高固体废物的综合利用率；危险固废的收集、贮存应满足《危险废物贮存污染控制标准》（GB18597-2023）的要求，并送有资质的危险废物处置单位处置，危险废物的转运应执行《危险废物转移管理办法》的有关规定。</w:t>
                  </w:r>
                </w:p>
              </w:tc>
              <w:tc>
                <w:tcPr>
                  <w:tcW w:w="682" w:type="dxa"/>
                  <w:tcBorders>
                    <w:top w:val="single" w:color="auto" w:sz="4" w:space="0"/>
                    <w:left w:val="single" w:color="auto" w:sz="4" w:space="0"/>
                    <w:bottom w:val="single" w:color="auto" w:sz="4" w:space="0"/>
                    <w:right w:val="nil"/>
                  </w:tcBorders>
                  <w:vAlign w:val="center"/>
                </w:tcPr>
                <w:p w14:paraId="09F17240">
                  <w:pPr>
                    <w:jc w:val="center"/>
                    <w:rPr>
                      <w:rFonts w:hint="eastAsia" w:ascii="宋体" w:hAnsi="宋体"/>
                    </w:rPr>
                  </w:pPr>
                  <w:r>
                    <w:rPr>
                      <w:rFonts w:hint="eastAsia" w:ascii="宋体" w:hAnsi="宋体"/>
                    </w:rPr>
                    <w:t>符合</w:t>
                  </w:r>
                </w:p>
              </w:tc>
            </w:tr>
            <w:tr w14:paraId="2B789E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tcBorders>
                    <w:top w:val="single" w:color="auto" w:sz="4" w:space="0"/>
                    <w:left w:val="nil"/>
                    <w:bottom w:val="single" w:color="auto" w:sz="4" w:space="0"/>
                    <w:right w:val="single" w:color="auto" w:sz="4" w:space="0"/>
                  </w:tcBorders>
                  <w:vAlign w:val="center"/>
                </w:tcPr>
                <w:p w14:paraId="21603067">
                  <w:pPr>
                    <w:pStyle w:val="58"/>
                    <w:ind w:left="0"/>
                    <w:jc w:val="center"/>
                    <w:rPr>
                      <w:rFonts w:ascii="Times New Roman" w:hAnsi="Times New Roman" w:cs="Times New Roman"/>
                      <w:b w:val="0"/>
                      <w:bCs w:val="0"/>
                      <w:sz w:val="21"/>
                      <w:szCs w:val="21"/>
                    </w:rPr>
                  </w:pPr>
                  <w:r>
                    <w:rPr>
                      <w:rFonts w:hint="eastAsia" w:ascii="Times New Roman" w:hAnsi="Times New Roman" w:cs="Times New Roman"/>
                      <w:b w:val="0"/>
                      <w:bCs w:val="0"/>
                      <w:sz w:val="21"/>
                      <w:szCs w:val="21"/>
                    </w:rPr>
                    <w:t>4</w:t>
                  </w:r>
                </w:p>
              </w:tc>
              <w:tc>
                <w:tcPr>
                  <w:tcW w:w="3885" w:type="dxa"/>
                  <w:tcBorders>
                    <w:top w:val="single" w:color="auto" w:sz="4" w:space="0"/>
                    <w:left w:val="single" w:color="auto" w:sz="4" w:space="0"/>
                    <w:bottom w:val="single" w:color="auto" w:sz="4" w:space="0"/>
                    <w:right w:val="single" w:color="auto" w:sz="4" w:space="0"/>
                  </w:tcBorders>
                  <w:vAlign w:val="center"/>
                </w:tcPr>
                <w:p w14:paraId="4FE7D643">
                  <w:pPr>
                    <w:pStyle w:val="82"/>
                    <w:ind w:firstLine="420"/>
                    <w:rPr>
                      <w:bCs w:val="0"/>
                    </w:rPr>
                  </w:pPr>
                  <w:r>
                    <w:rPr>
                      <w:rFonts w:hint="eastAsia"/>
                      <w:bCs w:val="0"/>
                    </w:rPr>
                    <w:t>(四)严格控制污染物排放</w:t>
                  </w:r>
                </w:p>
                <w:p w14:paraId="022D9AEA">
                  <w:pPr>
                    <w:pStyle w:val="82"/>
                    <w:ind w:firstLine="420"/>
                    <w:rPr>
                      <w:bCs w:val="0"/>
                    </w:rPr>
                  </w:pPr>
                  <w:r>
                    <w:rPr>
                      <w:rFonts w:hint="eastAsia"/>
                      <w:bCs w:val="0"/>
                    </w:rPr>
                    <w:t>严格执行污染物排放总量控制制度，采取调整能源结构、加强污染治理等措施，严格控制烟粉尘、二氧化硫、氮氧化物、VOCs等大气污染物的排放。抓紧实施中水回用工程，减少废水排放量，保证污水处理设施的正常运行，确保污水处理厂出水执行《城镇污水处理厂污染物排放标准》(GB18918-2002)一级A标准，并尽快对污水处理厂进行提标改造(化学需氧量≤40毫克/升，氨氮≤2毫克/升),减少对纳入水体的影响，确保区域水环境质量达标。尽快实现集聚区集中供水，逐步关停企业自备水井定期对地下水质进行监测，发现问题，及时采取有效防治措施，避免对地下水造成污染。</w:t>
                  </w:r>
                </w:p>
              </w:tc>
              <w:tc>
                <w:tcPr>
                  <w:tcW w:w="2811" w:type="dxa"/>
                  <w:tcBorders>
                    <w:top w:val="single" w:color="auto" w:sz="4" w:space="0"/>
                    <w:left w:val="single" w:color="auto" w:sz="4" w:space="0"/>
                    <w:bottom w:val="single" w:color="auto" w:sz="4" w:space="0"/>
                    <w:right w:val="single" w:color="auto" w:sz="4" w:space="0"/>
                  </w:tcBorders>
                  <w:vAlign w:val="center"/>
                </w:tcPr>
                <w:p w14:paraId="2A9CBF07">
                  <w:pPr>
                    <w:pStyle w:val="82"/>
                    <w:ind w:firstLine="420"/>
                  </w:pPr>
                  <w:r>
                    <w:rPr>
                      <w:rFonts w:hint="eastAsia"/>
                    </w:rPr>
                    <w:t>本项目严格落实污染物排放总量控制要求，熔融挤出工序产生的有机废气采用工业高压静电油烟净化装置+活性炭吸附/脱附-催化燃烧装置处理后达标排放。本项目清洗废水经一体化污水处理站处理，生活污水经化粪池处理，最后一起经管网排入获嘉县香山家园污水处理厂进一步处理，处理后排入共产主义渠。获嘉县香山家园污水处理厂出水浓度COD、NH</w:t>
                  </w:r>
                  <w:r>
                    <w:rPr>
                      <w:rFonts w:hint="eastAsia"/>
                      <w:vertAlign w:val="subscript"/>
                    </w:rPr>
                    <w:t>3</w:t>
                  </w:r>
                  <w:r>
                    <w:rPr>
                      <w:rFonts w:hint="eastAsia"/>
                    </w:rPr>
                    <w:t>-N、TP执行《地表水环境质量标准》(GB3838-2002)V类水体标准，SS、TN执行《城镇污水处理厂污染物排放标准》（GB18918-2002）表1一级A的标准要求。本项目用水由园区管网提供，无自备井。</w:t>
                  </w:r>
                </w:p>
              </w:tc>
              <w:tc>
                <w:tcPr>
                  <w:tcW w:w="682" w:type="dxa"/>
                  <w:tcBorders>
                    <w:top w:val="single" w:color="auto" w:sz="4" w:space="0"/>
                    <w:left w:val="single" w:color="auto" w:sz="4" w:space="0"/>
                    <w:bottom w:val="single" w:color="auto" w:sz="4" w:space="0"/>
                    <w:right w:val="nil"/>
                  </w:tcBorders>
                  <w:vAlign w:val="center"/>
                </w:tcPr>
                <w:p w14:paraId="5A5935FA">
                  <w:pPr>
                    <w:jc w:val="center"/>
                    <w:rPr>
                      <w:rFonts w:hint="eastAsia" w:ascii="宋体" w:hAnsi="宋体"/>
                    </w:rPr>
                  </w:pPr>
                  <w:r>
                    <w:rPr>
                      <w:rFonts w:hint="eastAsia" w:ascii="宋体" w:hAnsi="宋体"/>
                    </w:rPr>
                    <w:t>符合</w:t>
                  </w:r>
                </w:p>
              </w:tc>
            </w:tr>
            <w:tr w14:paraId="63D646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tcBorders>
                    <w:top w:val="single" w:color="auto" w:sz="4" w:space="0"/>
                    <w:left w:val="nil"/>
                    <w:bottom w:val="single" w:color="auto" w:sz="4" w:space="0"/>
                    <w:right w:val="single" w:color="auto" w:sz="4" w:space="0"/>
                  </w:tcBorders>
                  <w:vAlign w:val="center"/>
                </w:tcPr>
                <w:p w14:paraId="1FE0B203">
                  <w:pPr>
                    <w:pStyle w:val="58"/>
                    <w:ind w:left="0"/>
                    <w:jc w:val="center"/>
                    <w:rPr>
                      <w:rFonts w:ascii="Times New Roman" w:hAnsi="Times New Roman" w:cs="Times New Roman"/>
                      <w:b w:val="0"/>
                      <w:bCs w:val="0"/>
                      <w:sz w:val="21"/>
                      <w:szCs w:val="21"/>
                    </w:rPr>
                  </w:pPr>
                  <w:r>
                    <w:rPr>
                      <w:rFonts w:hint="eastAsia" w:ascii="Times New Roman" w:hAnsi="Times New Roman" w:cs="Times New Roman"/>
                      <w:b w:val="0"/>
                      <w:bCs w:val="0"/>
                      <w:sz w:val="21"/>
                      <w:szCs w:val="21"/>
                    </w:rPr>
                    <w:t>5</w:t>
                  </w:r>
                </w:p>
              </w:tc>
              <w:tc>
                <w:tcPr>
                  <w:tcW w:w="3885" w:type="dxa"/>
                  <w:tcBorders>
                    <w:top w:val="single" w:color="auto" w:sz="4" w:space="0"/>
                    <w:left w:val="single" w:color="auto" w:sz="4" w:space="0"/>
                    <w:bottom w:val="single" w:color="auto" w:sz="4" w:space="0"/>
                    <w:right w:val="single" w:color="auto" w:sz="4" w:space="0"/>
                  </w:tcBorders>
                  <w:vAlign w:val="center"/>
                </w:tcPr>
                <w:p w14:paraId="14F9403F">
                  <w:pPr>
                    <w:pStyle w:val="82"/>
                    <w:ind w:firstLine="420"/>
                    <w:rPr>
                      <w:bCs w:val="0"/>
                    </w:rPr>
                  </w:pPr>
                  <w:r>
                    <w:rPr>
                      <w:rFonts w:hint="eastAsia"/>
                      <w:bCs w:val="0"/>
                    </w:rPr>
                    <w:t>(五)建立事故风险防范和应急处置体系</w:t>
                  </w:r>
                </w:p>
                <w:p w14:paraId="0A19D07F">
                  <w:pPr>
                    <w:pStyle w:val="82"/>
                    <w:ind w:firstLine="420"/>
                    <w:rPr>
                      <w:bCs w:val="0"/>
                    </w:rPr>
                  </w:pPr>
                  <w:r>
                    <w:rPr>
                      <w:rFonts w:hint="eastAsia"/>
                      <w:bCs w:val="0"/>
                    </w:rPr>
                    <w:t>加快环境风险预警体系建设，健全环境风险单位信息库，严格危险化学品管理；健全环境风险防控工程，建立企业、产业集聚区和周边水系环境风险防控体系，防止事故排放对地表水环境造成损害；加强环境应急保障体系建设，制定园区及企业环境风险应急预案，明确环境风险防范措施。有计划地组织应急培训和演练，全面提升园区风险防控和事故应急处置能力。</w:t>
                  </w:r>
                </w:p>
              </w:tc>
              <w:tc>
                <w:tcPr>
                  <w:tcW w:w="2811" w:type="dxa"/>
                  <w:tcBorders>
                    <w:top w:val="single" w:color="auto" w:sz="4" w:space="0"/>
                    <w:left w:val="single" w:color="auto" w:sz="4" w:space="0"/>
                    <w:bottom w:val="single" w:color="auto" w:sz="4" w:space="0"/>
                    <w:right w:val="single" w:color="auto" w:sz="4" w:space="0"/>
                  </w:tcBorders>
                  <w:vAlign w:val="center"/>
                </w:tcPr>
                <w:p w14:paraId="1B603C7B">
                  <w:pPr>
                    <w:pStyle w:val="82"/>
                    <w:ind w:firstLine="420"/>
                    <w:rPr>
                      <w:bCs w:val="0"/>
                    </w:rPr>
                  </w:pPr>
                  <w:r>
                    <w:rPr>
                      <w:rFonts w:hint="eastAsia"/>
                      <w:bCs w:val="0"/>
                    </w:rPr>
                    <w:t>本项目不涉及</w:t>
                  </w:r>
                </w:p>
              </w:tc>
              <w:tc>
                <w:tcPr>
                  <w:tcW w:w="682" w:type="dxa"/>
                  <w:tcBorders>
                    <w:top w:val="single" w:color="auto" w:sz="4" w:space="0"/>
                    <w:left w:val="single" w:color="auto" w:sz="4" w:space="0"/>
                    <w:bottom w:val="single" w:color="auto" w:sz="4" w:space="0"/>
                    <w:right w:val="nil"/>
                  </w:tcBorders>
                  <w:vAlign w:val="center"/>
                </w:tcPr>
                <w:p w14:paraId="55FCF1D4">
                  <w:pPr>
                    <w:jc w:val="center"/>
                    <w:rPr>
                      <w:rFonts w:hint="eastAsia" w:ascii="宋体" w:hAnsi="宋体"/>
                    </w:rPr>
                  </w:pPr>
                  <w:r>
                    <w:rPr>
                      <w:rFonts w:hint="eastAsia" w:ascii="宋体" w:hAnsi="宋体"/>
                    </w:rPr>
                    <w:t>/</w:t>
                  </w:r>
                </w:p>
              </w:tc>
            </w:tr>
            <w:tr w14:paraId="094D61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tcBorders>
                    <w:top w:val="single" w:color="auto" w:sz="4" w:space="0"/>
                    <w:left w:val="nil"/>
                    <w:bottom w:val="single" w:color="auto" w:sz="4" w:space="0"/>
                    <w:right w:val="single" w:color="auto" w:sz="4" w:space="0"/>
                  </w:tcBorders>
                  <w:vAlign w:val="center"/>
                </w:tcPr>
                <w:p w14:paraId="2E5114B6">
                  <w:pPr>
                    <w:pStyle w:val="58"/>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6</w:t>
                  </w:r>
                </w:p>
              </w:tc>
              <w:tc>
                <w:tcPr>
                  <w:tcW w:w="3885" w:type="dxa"/>
                  <w:tcBorders>
                    <w:top w:val="single" w:color="auto" w:sz="4" w:space="0"/>
                    <w:left w:val="single" w:color="auto" w:sz="4" w:space="0"/>
                    <w:bottom w:val="single" w:color="auto" w:sz="4" w:space="0"/>
                    <w:right w:val="single" w:color="auto" w:sz="4" w:space="0"/>
                  </w:tcBorders>
                  <w:vAlign w:val="center"/>
                </w:tcPr>
                <w:p w14:paraId="47302DC8">
                  <w:pPr>
                    <w:pStyle w:val="82"/>
                    <w:ind w:firstLine="420"/>
                    <w:rPr>
                      <w:bCs w:val="0"/>
                    </w:rPr>
                  </w:pPr>
                  <w:r>
                    <w:rPr>
                      <w:rFonts w:hint="eastAsia"/>
                      <w:bCs w:val="0"/>
                    </w:rPr>
                    <w:t>(六)妥善安置搬迁居民</w:t>
                  </w:r>
                </w:p>
                <w:p w14:paraId="77944455">
                  <w:pPr>
                    <w:pStyle w:val="82"/>
                    <w:ind w:firstLine="420"/>
                    <w:rPr>
                      <w:bCs w:val="0"/>
                    </w:rPr>
                  </w:pPr>
                  <w:r>
                    <w:rPr>
                      <w:rFonts w:hint="eastAsia"/>
                      <w:bCs w:val="0"/>
                    </w:rPr>
                    <w:t>根据规划实施的进度，制定详细的搬迁计划，对居民及时搬迁，妥善安置。当地人民政府应加强组织协调，按照《报告书》提出的建议制定详细的搬迁计划和方案，认真组织落实。加强对搬迁居民的培训，积极拓宽就业渠道，注意加强搬迁居民的就业、医疗、社会救助等保障体系建设，保证其生活基本稳定，构建和谐社会。</w:t>
                  </w:r>
                </w:p>
              </w:tc>
              <w:tc>
                <w:tcPr>
                  <w:tcW w:w="2811" w:type="dxa"/>
                  <w:tcBorders>
                    <w:top w:val="single" w:color="auto" w:sz="4" w:space="0"/>
                    <w:left w:val="single" w:color="auto" w:sz="4" w:space="0"/>
                    <w:bottom w:val="single" w:color="auto" w:sz="4" w:space="0"/>
                    <w:right w:val="single" w:color="auto" w:sz="4" w:space="0"/>
                  </w:tcBorders>
                  <w:vAlign w:val="center"/>
                </w:tcPr>
                <w:p w14:paraId="0E0E7641">
                  <w:pPr>
                    <w:pStyle w:val="82"/>
                    <w:ind w:firstLine="420"/>
                    <w:rPr>
                      <w:bCs w:val="0"/>
                    </w:rPr>
                  </w:pPr>
                  <w:r>
                    <w:rPr>
                      <w:rFonts w:hint="eastAsia"/>
                      <w:bCs w:val="0"/>
                    </w:rPr>
                    <w:t>本项目不涉及</w:t>
                  </w:r>
                </w:p>
              </w:tc>
              <w:tc>
                <w:tcPr>
                  <w:tcW w:w="682" w:type="dxa"/>
                  <w:tcBorders>
                    <w:top w:val="single" w:color="auto" w:sz="4" w:space="0"/>
                    <w:left w:val="single" w:color="auto" w:sz="4" w:space="0"/>
                    <w:bottom w:val="single" w:color="auto" w:sz="4" w:space="0"/>
                    <w:right w:val="nil"/>
                  </w:tcBorders>
                  <w:vAlign w:val="center"/>
                </w:tcPr>
                <w:p w14:paraId="5BDB5B60">
                  <w:pPr>
                    <w:jc w:val="center"/>
                    <w:rPr>
                      <w:rFonts w:hint="eastAsia" w:ascii="宋体" w:hAnsi="宋体"/>
                    </w:rPr>
                  </w:pPr>
                  <w:r>
                    <w:rPr>
                      <w:rFonts w:hint="eastAsia" w:ascii="宋体" w:hAnsi="宋体"/>
                    </w:rPr>
                    <w:t>/</w:t>
                  </w:r>
                </w:p>
              </w:tc>
            </w:tr>
          </w:tbl>
          <w:p w14:paraId="7DFBF313">
            <w:pPr>
              <w:pStyle w:val="28"/>
              <w:ind w:firstLine="480"/>
              <w:rPr>
                <w:sz w:val="21"/>
                <w:szCs w:val="21"/>
              </w:rPr>
            </w:pPr>
            <w:r>
              <w:t>由上表可知，本项目符合</w:t>
            </w:r>
            <w:r>
              <w:rPr>
                <w:rFonts w:hint="eastAsia"/>
              </w:rPr>
              <w:t>获嘉县产业集聚区</w:t>
            </w:r>
            <w:r>
              <w:t>规划环评的审查意见</w:t>
            </w:r>
            <w:r>
              <w:rPr>
                <w:rFonts w:hint="eastAsia"/>
                <w:sz w:val="21"/>
                <w:szCs w:val="21"/>
              </w:rPr>
              <w:t>。</w:t>
            </w:r>
          </w:p>
        </w:tc>
      </w:tr>
      <w:tr w14:paraId="203A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71" w:type="dxa"/>
            <w:vAlign w:val="center"/>
          </w:tcPr>
          <w:p w14:paraId="0147BFE8">
            <w:pPr>
              <w:autoSpaceDE w:val="0"/>
              <w:autoSpaceDN w:val="0"/>
              <w:adjustRightInd w:val="0"/>
              <w:snapToGrid w:val="0"/>
              <w:jc w:val="center"/>
              <w:outlineLvl w:val="1"/>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222" w:type="dxa"/>
            <w:gridSpan w:val="3"/>
          </w:tcPr>
          <w:p w14:paraId="3899D3CA">
            <w:pPr>
              <w:pStyle w:val="90"/>
              <w:ind w:firstLine="482"/>
            </w:pPr>
            <w:r>
              <w:rPr>
                <w:rFonts w:hint="eastAsia"/>
              </w:rPr>
              <w:t>1、与《建设项目环境影响评价分类管理名录》（2021年版）相符性分析</w:t>
            </w:r>
          </w:p>
          <w:p w14:paraId="005EC22E">
            <w:pPr>
              <w:pStyle w:val="28"/>
              <w:ind w:firstLine="480"/>
            </w:pPr>
            <w:r>
              <w:rPr>
                <w:rFonts w:hint="eastAsia"/>
              </w:rPr>
              <w:t>经查阅《建设项目环境影响评价分类管理名录》（2021版），本项目属于三十九、“废弃资源综合利用业 42”：第</w:t>
            </w:r>
            <w:r>
              <w:t>85</w:t>
            </w:r>
            <w:r>
              <w:rPr>
                <w:rFonts w:hint="eastAsia"/>
              </w:rPr>
              <w:t>条“金属废料和碎屑加工处理421；非金属废料和碎屑加工处理422（421和422均不含原料为危险废物的，均不含仅分拣、破碎的）”。名录规定：“废电池、废油加工处理”应编制环境影响报告书；“</w:t>
            </w:r>
            <w:r>
              <w:rPr>
                <w:rFonts w:hint="eastAsia"/>
                <w:kern w:val="0"/>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r>
              <w:rPr>
                <w:rFonts w:hint="eastAsia"/>
              </w:rPr>
              <w:t>”应编制环境影响报告表。本项目为再生塑料颗粒加工项目，生产工艺主要包括废粉碎、清洗、挤出、切粒、包装等，故应编制环境影响报告表。</w:t>
            </w:r>
          </w:p>
          <w:p w14:paraId="4E4C1CD3">
            <w:pPr>
              <w:pStyle w:val="90"/>
              <w:ind w:firstLine="482"/>
            </w:pPr>
            <w:r>
              <w:rPr>
                <w:rFonts w:hint="eastAsia"/>
              </w:rPr>
              <w:t>2、与产业政策相符性对比分析</w:t>
            </w:r>
          </w:p>
          <w:p w14:paraId="58FABABF">
            <w:pPr>
              <w:pStyle w:val="28"/>
              <w:ind w:firstLine="480"/>
            </w:pPr>
            <w:r>
              <w:rPr>
                <w:rFonts w:hint="eastAsia"/>
              </w:rPr>
              <w:t>经查阅《产业结构调整指导目录（20</w:t>
            </w:r>
            <w:r>
              <w:t>24</w:t>
            </w:r>
            <w:r>
              <w:rPr>
                <w:rFonts w:hint="eastAsia"/>
              </w:rPr>
              <w:t>年本）》，本项目符合属于第一类鼓励类四十二、环境保护与资源节约综合利用第</w:t>
            </w:r>
            <w:r>
              <w:t>8</w:t>
            </w:r>
            <w:r>
              <w:rPr>
                <w:rFonts w:hint="eastAsia"/>
              </w:rPr>
              <w:t>条“废弃物循环利用：废钢铁、废有色金属、废纸、废橡胶、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废旧动力电池自动化拆解、自动化快速分选成组、电池剩余寿命及一致性评估、有价组分综合回收、梯次利用、再生利用技术装备开发及应用，低值可回收物回收利用，“城市矿产”基地和资源循环利用基地建设，煤矸石、粉煤灰、尾矿（共伴生矿）、冶炼渣、工业副产石膏、赤泥、建筑垃圾等工业废弃物循环利用，农作物秸秆、畜禽粪污、农药包装等农林废弃物循环利用，生物质能技术装备（发电、供热、制油、沼气）”，属于鼓励类。本项目已通过获嘉县发展和改革委员会备案，项目代码：</w:t>
            </w:r>
          </w:p>
          <w:p w14:paraId="16726420">
            <w:pPr>
              <w:pStyle w:val="28"/>
              <w:ind w:firstLine="480"/>
            </w:pPr>
            <w:r>
              <w:rPr>
                <w:rFonts w:hint="eastAsia"/>
              </w:rPr>
              <w:t>本项目情况与产业政策相符性见下表。</w:t>
            </w:r>
          </w:p>
          <w:p w14:paraId="602C76B0">
            <w:pPr>
              <w:pStyle w:val="67"/>
              <w:ind w:firstLine="480"/>
            </w:pPr>
            <w:r>
              <w:rPr>
                <w:rFonts w:hint="eastAsia"/>
              </w:rPr>
              <w:t xml:space="preserve">           项目与产业政策相符性分析</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8"/>
              <w:gridCol w:w="908"/>
              <w:gridCol w:w="793"/>
              <w:gridCol w:w="3544"/>
              <w:gridCol w:w="1710"/>
              <w:gridCol w:w="733"/>
            </w:tblGrid>
            <w:tr w14:paraId="38C654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26" w:type="dxa"/>
                  <w:gridSpan w:val="2"/>
                  <w:tcBorders>
                    <w:top w:val="single" w:color="auto" w:sz="8" w:space="0"/>
                    <w:left w:val="nil"/>
                    <w:bottom w:val="single" w:color="auto" w:sz="4" w:space="0"/>
                    <w:right w:val="single" w:color="auto" w:sz="4" w:space="0"/>
                  </w:tcBorders>
                  <w:vAlign w:val="center"/>
                </w:tcPr>
                <w:p w14:paraId="2A962EAB">
                  <w:pPr>
                    <w:pStyle w:val="86"/>
                    <w:rPr>
                      <w:b/>
                      <w:bCs w:val="0"/>
                      <w:kern w:val="2"/>
                      <w:szCs w:val="21"/>
                    </w:rPr>
                  </w:pPr>
                  <w:r>
                    <w:rPr>
                      <w:b/>
                      <w:bCs w:val="0"/>
                    </w:rPr>
                    <w:t>类别</w:t>
                  </w:r>
                </w:p>
              </w:tc>
              <w:tc>
                <w:tcPr>
                  <w:tcW w:w="793" w:type="dxa"/>
                  <w:tcBorders>
                    <w:top w:val="single" w:color="auto" w:sz="8" w:space="0"/>
                    <w:left w:val="single" w:color="auto" w:sz="4" w:space="0"/>
                    <w:bottom w:val="single" w:color="auto" w:sz="4" w:space="0"/>
                    <w:right w:val="single" w:color="auto" w:sz="4" w:space="0"/>
                  </w:tcBorders>
                  <w:vAlign w:val="center"/>
                </w:tcPr>
                <w:p w14:paraId="5E89307C">
                  <w:pPr>
                    <w:pStyle w:val="86"/>
                    <w:rPr>
                      <w:b/>
                      <w:bCs w:val="0"/>
                    </w:rPr>
                  </w:pPr>
                  <w:r>
                    <w:rPr>
                      <w:b/>
                      <w:bCs w:val="0"/>
                    </w:rPr>
                    <w:t>条款</w:t>
                  </w:r>
                </w:p>
              </w:tc>
              <w:tc>
                <w:tcPr>
                  <w:tcW w:w="3544" w:type="dxa"/>
                  <w:tcBorders>
                    <w:top w:val="single" w:color="auto" w:sz="8" w:space="0"/>
                    <w:left w:val="single" w:color="auto" w:sz="4" w:space="0"/>
                    <w:bottom w:val="single" w:color="auto" w:sz="4" w:space="0"/>
                    <w:right w:val="single" w:color="auto" w:sz="4" w:space="0"/>
                  </w:tcBorders>
                  <w:vAlign w:val="center"/>
                </w:tcPr>
                <w:p w14:paraId="5015E122">
                  <w:pPr>
                    <w:pStyle w:val="86"/>
                    <w:rPr>
                      <w:b/>
                      <w:bCs w:val="0"/>
                    </w:rPr>
                  </w:pPr>
                  <w:r>
                    <w:rPr>
                      <w:b/>
                      <w:bCs w:val="0"/>
                    </w:rPr>
                    <w:t>内容</w:t>
                  </w:r>
                </w:p>
              </w:tc>
              <w:tc>
                <w:tcPr>
                  <w:tcW w:w="1710" w:type="dxa"/>
                  <w:tcBorders>
                    <w:top w:val="single" w:color="auto" w:sz="8" w:space="0"/>
                    <w:left w:val="single" w:color="auto" w:sz="4" w:space="0"/>
                    <w:bottom w:val="single" w:color="auto" w:sz="4" w:space="0"/>
                    <w:right w:val="single" w:color="auto" w:sz="4" w:space="0"/>
                  </w:tcBorders>
                  <w:vAlign w:val="center"/>
                </w:tcPr>
                <w:p w14:paraId="726AB841">
                  <w:pPr>
                    <w:pStyle w:val="86"/>
                    <w:rPr>
                      <w:b/>
                      <w:bCs w:val="0"/>
                    </w:rPr>
                  </w:pPr>
                  <w:r>
                    <w:rPr>
                      <w:b/>
                      <w:bCs w:val="0"/>
                    </w:rPr>
                    <w:t>本项目情况</w:t>
                  </w:r>
                </w:p>
              </w:tc>
              <w:tc>
                <w:tcPr>
                  <w:tcW w:w="733" w:type="dxa"/>
                  <w:tcBorders>
                    <w:top w:val="single" w:color="auto" w:sz="8" w:space="0"/>
                    <w:left w:val="single" w:color="auto" w:sz="4" w:space="0"/>
                    <w:bottom w:val="single" w:color="auto" w:sz="4" w:space="0"/>
                    <w:right w:val="nil"/>
                  </w:tcBorders>
                  <w:vAlign w:val="center"/>
                </w:tcPr>
                <w:p w14:paraId="032B8CD4">
                  <w:pPr>
                    <w:pStyle w:val="86"/>
                    <w:rPr>
                      <w:b/>
                      <w:bCs w:val="0"/>
                    </w:rPr>
                  </w:pPr>
                  <w:r>
                    <w:rPr>
                      <w:b/>
                      <w:bCs w:val="0"/>
                    </w:rPr>
                    <w:t>相符性</w:t>
                  </w:r>
                </w:p>
              </w:tc>
            </w:tr>
            <w:tr w14:paraId="2FDCEE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26" w:type="dxa"/>
                  <w:gridSpan w:val="2"/>
                  <w:tcBorders>
                    <w:top w:val="single" w:color="auto" w:sz="4" w:space="0"/>
                    <w:left w:val="nil"/>
                    <w:bottom w:val="single" w:color="auto" w:sz="4" w:space="0"/>
                    <w:right w:val="single" w:color="auto" w:sz="4" w:space="0"/>
                  </w:tcBorders>
                  <w:vAlign w:val="center"/>
                </w:tcPr>
                <w:p w14:paraId="2B98B7F7">
                  <w:pPr>
                    <w:pStyle w:val="86"/>
                  </w:pPr>
                  <w:r>
                    <w:t>鼓励类</w:t>
                  </w:r>
                </w:p>
              </w:tc>
              <w:tc>
                <w:tcPr>
                  <w:tcW w:w="793" w:type="dxa"/>
                  <w:tcBorders>
                    <w:top w:val="single" w:color="auto" w:sz="4" w:space="0"/>
                    <w:left w:val="single" w:color="auto" w:sz="4" w:space="0"/>
                    <w:bottom w:val="single" w:color="auto" w:sz="4" w:space="0"/>
                    <w:right w:val="single" w:color="auto" w:sz="4" w:space="0"/>
                  </w:tcBorders>
                  <w:vAlign w:val="center"/>
                </w:tcPr>
                <w:p w14:paraId="1CD6593F">
                  <w:pPr>
                    <w:pStyle w:val="86"/>
                  </w:pPr>
                  <w:r>
                    <w:rPr>
                      <w:rFonts w:hint="eastAsia"/>
                    </w:rPr>
                    <w:t>四十二、环境保护与资源节约综合利用</w:t>
                  </w:r>
                </w:p>
              </w:tc>
              <w:tc>
                <w:tcPr>
                  <w:tcW w:w="3544" w:type="dxa"/>
                  <w:tcBorders>
                    <w:top w:val="single" w:color="auto" w:sz="4" w:space="0"/>
                    <w:left w:val="single" w:color="auto" w:sz="4" w:space="0"/>
                    <w:bottom w:val="single" w:color="auto" w:sz="4" w:space="0"/>
                    <w:right w:val="single" w:color="auto" w:sz="4" w:space="0"/>
                  </w:tcBorders>
                  <w:vAlign w:val="center"/>
                </w:tcPr>
                <w:p w14:paraId="662A898C">
                  <w:pPr>
                    <w:pStyle w:val="82"/>
                    <w:ind w:firstLine="420"/>
                  </w:pPr>
                  <w:r>
                    <w:t>8、</w:t>
                  </w:r>
                  <w:r>
                    <w:rPr>
                      <w:rFonts w:hint="eastAsia"/>
                    </w:rPr>
                    <w:t>废弃物循环利用：废钢铁、废有色金属、废纸、废橡胶、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废旧动力电池自动化拆解、自动化快速分选成组、电池剩余寿命及一致性评估、有价组分综合回收、梯次利用、再生利用技术装备开发及应用，低值可回收物回收利用，“城市矿产”基地和资源循环利用基地建设，煤矸石、粉煤灰、尾矿（共伴生矿）、冶炼渣、工业副产石膏、赤泥、建筑垃圾等工业废弃物循环利用，农作物秸秆、畜禽粪污、农药包装等农林废弃物循环利用，生物质能技术装备（发电、供热、制油、沼气）</w:t>
                  </w:r>
                </w:p>
              </w:tc>
              <w:tc>
                <w:tcPr>
                  <w:tcW w:w="1710" w:type="dxa"/>
                  <w:tcBorders>
                    <w:top w:val="single" w:color="auto" w:sz="4" w:space="0"/>
                    <w:left w:val="single" w:color="auto" w:sz="4" w:space="0"/>
                    <w:bottom w:val="single" w:color="auto" w:sz="4" w:space="0"/>
                    <w:right w:val="single" w:color="auto" w:sz="4" w:space="0"/>
                  </w:tcBorders>
                  <w:vAlign w:val="center"/>
                </w:tcPr>
                <w:p w14:paraId="08EB9A87">
                  <w:pPr>
                    <w:pStyle w:val="82"/>
                    <w:ind w:firstLine="420"/>
                  </w:pPr>
                  <w:r>
                    <w:rPr>
                      <w:rFonts w:hint="eastAsia"/>
                    </w:rPr>
                    <w:t>本项目为再生塑料颗粒加工项目，利用废塑料皮经过粉碎、清洗、挤出、切粒等工序生产再生塑料颗粒，属于废旧资源综合利用。</w:t>
                  </w:r>
                </w:p>
              </w:tc>
              <w:tc>
                <w:tcPr>
                  <w:tcW w:w="733" w:type="dxa"/>
                  <w:tcBorders>
                    <w:top w:val="single" w:color="auto" w:sz="4" w:space="0"/>
                    <w:left w:val="single" w:color="auto" w:sz="4" w:space="0"/>
                    <w:bottom w:val="single" w:color="auto" w:sz="4" w:space="0"/>
                    <w:right w:val="nil"/>
                  </w:tcBorders>
                  <w:vAlign w:val="center"/>
                </w:tcPr>
                <w:p w14:paraId="5193D847">
                  <w:pPr>
                    <w:pStyle w:val="86"/>
                    <w:rPr>
                      <w:szCs w:val="21"/>
                    </w:rPr>
                  </w:pPr>
                  <w:r>
                    <w:t>属于</w:t>
                  </w:r>
                </w:p>
              </w:tc>
            </w:tr>
            <w:tr w14:paraId="7C1E55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26" w:type="dxa"/>
                  <w:gridSpan w:val="2"/>
                  <w:tcBorders>
                    <w:top w:val="single" w:color="auto" w:sz="4" w:space="0"/>
                    <w:left w:val="nil"/>
                    <w:bottom w:val="single" w:color="auto" w:sz="4" w:space="0"/>
                    <w:right w:val="single" w:color="auto" w:sz="4" w:space="0"/>
                  </w:tcBorders>
                  <w:vAlign w:val="center"/>
                </w:tcPr>
                <w:p w14:paraId="49AB8654">
                  <w:pPr>
                    <w:pStyle w:val="86"/>
                  </w:pPr>
                  <w:r>
                    <w:t>限制类</w:t>
                  </w:r>
                </w:p>
              </w:tc>
              <w:tc>
                <w:tcPr>
                  <w:tcW w:w="793" w:type="dxa"/>
                  <w:tcBorders>
                    <w:top w:val="single" w:color="auto" w:sz="4" w:space="0"/>
                    <w:left w:val="single" w:color="auto" w:sz="4" w:space="0"/>
                    <w:bottom w:val="single" w:color="auto" w:sz="4" w:space="0"/>
                    <w:right w:val="single" w:color="auto" w:sz="4" w:space="0"/>
                  </w:tcBorders>
                  <w:vAlign w:val="center"/>
                </w:tcPr>
                <w:p w14:paraId="544D0FE4">
                  <w:pPr>
                    <w:pStyle w:val="86"/>
                  </w:pPr>
                  <w:r>
                    <w:rPr>
                      <w:rFonts w:hint="eastAsia"/>
                    </w:rPr>
                    <w:t>/</w:t>
                  </w:r>
                </w:p>
              </w:tc>
              <w:tc>
                <w:tcPr>
                  <w:tcW w:w="3544" w:type="dxa"/>
                  <w:tcBorders>
                    <w:top w:val="single" w:color="auto" w:sz="4" w:space="0"/>
                    <w:left w:val="single" w:color="auto" w:sz="4" w:space="0"/>
                    <w:bottom w:val="single" w:color="auto" w:sz="4" w:space="0"/>
                    <w:right w:val="single" w:color="auto" w:sz="4" w:space="0"/>
                  </w:tcBorders>
                  <w:vAlign w:val="center"/>
                </w:tcPr>
                <w:p w14:paraId="2B6793B1">
                  <w:pPr>
                    <w:pStyle w:val="86"/>
                  </w:pPr>
                  <w:r>
                    <w:t>查无相关对应条款</w:t>
                  </w:r>
                </w:p>
              </w:tc>
              <w:tc>
                <w:tcPr>
                  <w:tcW w:w="1710" w:type="dxa"/>
                  <w:tcBorders>
                    <w:top w:val="single" w:color="auto" w:sz="4" w:space="0"/>
                    <w:left w:val="single" w:color="auto" w:sz="4" w:space="0"/>
                    <w:bottom w:val="single" w:color="auto" w:sz="4" w:space="0"/>
                    <w:right w:val="single" w:color="auto" w:sz="4" w:space="0"/>
                  </w:tcBorders>
                  <w:vAlign w:val="center"/>
                </w:tcPr>
                <w:p w14:paraId="3F99BC6D">
                  <w:pPr>
                    <w:pStyle w:val="86"/>
                  </w:pPr>
                  <w:r>
                    <w:t>本项目为</w:t>
                  </w:r>
                  <w:r>
                    <w:rPr>
                      <w:rFonts w:hint="eastAsia"/>
                    </w:rPr>
                    <w:t>再生塑料颗粒加工项目</w:t>
                  </w:r>
                </w:p>
              </w:tc>
              <w:tc>
                <w:tcPr>
                  <w:tcW w:w="733" w:type="dxa"/>
                  <w:tcBorders>
                    <w:top w:val="single" w:color="auto" w:sz="4" w:space="0"/>
                    <w:left w:val="single" w:color="auto" w:sz="4" w:space="0"/>
                    <w:bottom w:val="single" w:color="auto" w:sz="4" w:space="0"/>
                    <w:right w:val="nil"/>
                  </w:tcBorders>
                  <w:vAlign w:val="center"/>
                </w:tcPr>
                <w:p w14:paraId="07DE743F">
                  <w:pPr>
                    <w:pStyle w:val="86"/>
                  </w:pPr>
                  <w:r>
                    <w:t>不属于</w:t>
                  </w:r>
                </w:p>
              </w:tc>
            </w:tr>
            <w:tr w14:paraId="389CFC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vMerge w:val="restart"/>
                  <w:tcBorders>
                    <w:top w:val="single" w:color="auto" w:sz="4" w:space="0"/>
                    <w:left w:val="nil"/>
                    <w:bottom w:val="single" w:color="auto" w:sz="4" w:space="0"/>
                    <w:right w:val="single" w:color="auto" w:sz="4" w:space="0"/>
                  </w:tcBorders>
                  <w:vAlign w:val="center"/>
                </w:tcPr>
                <w:p w14:paraId="32CD724F">
                  <w:pPr>
                    <w:pStyle w:val="86"/>
                  </w:pPr>
                  <w:r>
                    <w:t>淘汰类</w:t>
                  </w:r>
                </w:p>
              </w:tc>
              <w:tc>
                <w:tcPr>
                  <w:tcW w:w="908" w:type="dxa"/>
                  <w:tcBorders>
                    <w:top w:val="single" w:color="auto" w:sz="4" w:space="0"/>
                    <w:left w:val="single" w:color="auto" w:sz="4" w:space="0"/>
                    <w:bottom w:val="single" w:color="auto" w:sz="4" w:space="0"/>
                    <w:right w:val="single" w:color="auto" w:sz="4" w:space="0"/>
                  </w:tcBorders>
                  <w:vAlign w:val="center"/>
                </w:tcPr>
                <w:p w14:paraId="0EA71166">
                  <w:pPr>
                    <w:pStyle w:val="86"/>
                  </w:pPr>
                  <w:r>
                    <w:t>落后生产工艺装备</w:t>
                  </w:r>
                </w:p>
              </w:tc>
              <w:tc>
                <w:tcPr>
                  <w:tcW w:w="793" w:type="dxa"/>
                  <w:tcBorders>
                    <w:top w:val="single" w:color="auto" w:sz="4" w:space="0"/>
                    <w:left w:val="single" w:color="auto" w:sz="4" w:space="0"/>
                    <w:bottom w:val="single" w:color="auto" w:sz="4" w:space="0"/>
                    <w:right w:val="single" w:color="auto" w:sz="4" w:space="0"/>
                  </w:tcBorders>
                  <w:vAlign w:val="center"/>
                </w:tcPr>
                <w:p w14:paraId="3A534195">
                  <w:pPr>
                    <w:pStyle w:val="86"/>
                  </w:pPr>
                  <w:r>
                    <w:rPr>
                      <w:rFonts w:hint="eastAsia"/>
                    </w:rPr>
                    <w:t>/</w:t>
                  </w:r>
                </w:p>
              </w:tc>
              <w:tc>
                <w:tcPr>
                  <w:tcW w:w="3544" w:type="dxa"/>
                  <w:tcBorders>
                    <w:top w:val="single" w:color="auto" w:sz="4" w:space="0"/>
                    <w:left w:val="single" w:color="auto" w:sz="4" w:space="0"/>
                    <w:bottom w:val="single" w:color="auto" w:sz="4" w:space="0"/>
                    <w:right w:val="single" w:color="auto" w:sz="4" w:space="0"/>
                  </w:tcBorders>
                  <w:vAlign w:val="center"/>
                </w:tcPr>
                <w:p w14:paraId="2707CE91">
                  <w:pPr>
                    <w:pStyle w:val="86"/>
                  </w:pPr>
                  <w:r>
                    <w:t>查无相关对应条款</w:t>
                  </w:r>
                </w:p>
              </w:tc>
              <w:tc>
                <w:tcPr>
                  <w:tcW w:w="1710" w:type="dxa"/>
                  <w:tcBorders>
                    <w:top w:val="single" w:color="auto" w:sz="4" w:space="0"/>
                    <w:left w:val="single" w:color="auto" w:sz="4" w:space="0"/>
                    <w:bottom w:val="single" w:color="auto" w:sz="4" w:space="0"/>
                    <w:right w:val="single" w:color="auto" w:sz="4" w:space="0"/>
                  </w:tcBorders>
                  <w:vAlign w:val="center"/>
                </w:tcPr>
                <w:p w14:paraId="718C578E">
                  <w:pPr>
                    <w:pStyle w:val="86"/>
                  </w:pPr>
                  <w:r>
                    <w:t>本项目</w:t>
                  </w:r>
                  <w:r>
                    <w:rPr>
                      <w:rFonts w:hint="eastAsia"/>
                    </w:rPr>
                    <w:t>设备为粉碎机、造粒机等</w:t>
                  </w:r>
                </w:p>
              </w:tc>
              <w:tc>
                <w:tcPr>
                  <w:tcW w:w="733" w:type="dxa"/>
                  <w:vMerge w:val="restart"/>
                  <w:tcBorders>
                    <w:top w:val="single" w:color="auto" w:sz="4" w:space="0"/>
                    <w:left w:val="single" w:color="auto" w:sz="4" w:space="0"/>
                    <w:bottom w:val="single" w:color="auto" w:sz="4" w:space="0"/>
                    <w:right w:val="nil"/>
                  </w:tcBorders>
                  <w:vAlign w:val="center"/>
                </w:tcPr>
                <w:p w14:paraId="3007DC59">
                  <w:pPr>
                    <w:pStyle w:val="86"/>
                  </w:pPr>
                  <w:r>
                    <w:t>不属于</w:t>
                  </w:r>
                </w:p>
              </w:tc>
            </w:tr>
            <w:tr w14:paraId="179CFB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8" w:type="dxa"/>
                  <w:vMerge w:val="continue"/>
                  <w:tcBorders>
                    <w:top w:val="single" w:color="auto" w:sz="4" w:space="0"/>
                    <w:left w:val="nil"/>
                    <w:bottom w:val="single" w:color="auto" w:sz="4" w:space="0"/>
                    <w:right w:val="single" w:color="auto" w:sz="4" w:space="0"/>
                  </w:tcBorders>
                  <w:vAlign w:val="center"/>
                </w:tcPr>
                <w:p w14:paraId="79860CBF">
                  <w:pPr>
                    <w:pStyle w:val="86"/>
                    <w:rPr>
                      <w:kern w:val="2"/>
                      <w:szCs w:val="21"/>
                    </w:rPr>
                  </w:pPr>
                </w:p>
              </w:tc>
              <w:tc>
                <w:tcPr>
                  <w:tcW w:w="908" w:type="dxa"/>
                  <w:tcBorders>
                    <w:top w:val="single" w:color="auto" w:sz="4" w:space="0"/>
                    <w:left w:val="single" w:color="auto" w:sz="4" w:space="0"/>
                    <w:bottom w:val="single" w:color="auto" w:sz="8" w:space="0"/>
                    <w:right w:val="single" w:color="auto" w:sz="4" w:space="0"/>
                  </w:tcBorders>
                  <w:vAlign w:val="center"/>
                </w:tcPr>
                <w:p w14:paraId="26A3F200">
                  <w:pPr>
                    <w:pStyle w:val="86"/>
                  </w:pPr>
                  <w:r>
                    <w:t>落后产品</w:t>
                  </w:r>
                </w:p>
              </w:tc>
              <w:tc>
                <w:tcPr>
                  <w:tcW w:w="793" w:type="dxa"/>
                  <w:tcBorders>
                    <w:top w:val="single" w:color="auto" w:sz="4" w:space="0"/>
                    <w:left w:val="single" w:color="auto" w:sz="4" w:space="0"/>
                    <w:bottom w:val="single" w:color="auto" w:sz="8" w:space="0"/>
                    <w:right w:val="single" w:color="auto" w:sz="4" w:space="0"/>
                  </w:tcBorders>
                  <w:vAlign w:val="center"/>
                </w:tcPr>
                <w:p w14:paraId="7A87B227">
                  <w:pPr>
                    <w:pStyle w:val="86"/>
                  </w:pPr>
                  <w:r>
                    <w:rPr>
                      <w:rFonts w:hint="eastAsia"/>
                    </w:rPr>
                    <w:t>/</w:t>
                  </w:r>
                </w:p>
              </w:tc>
              <w:tc>
                <w:tcPr>
                  <w:tcW w:w="3544" w:type="dxa"/>
                  <w:tcBorders>
                    <w:top w:val="single" w:color="auto" w:sz="4" w:space="0"/>
                    <w:left w:val="single" w:color="auto" w:sz="4" w:space="0"/>
                    <w:bottom w:val="single" w:color="auto" w:sz="8" w:space="0"/>
                    <w:right w:val="single" w:color="auto" w:sz="4" w:space="0"/>
                  </w:tcBorders>
                  <w:vAlign w:val="center"/>
                </w:tcPr>
                <w:p w14:paraId="42CA7F4C">
                  <w:pPr>
                    <w:pStyle w:val="86"/>
                  </w:pPr>
                  <w:r>
                    <w:t>查无相关对应条款</w:t>
                  </w:r>
                </w:p>
              </w:tc>
              <w:tc>
                <w:tcPr>
                  <w:tcW w:w="1710" w:type="dxa"/>
                  <w:tcBorders>
                    <w:top w:val="single" w:color="auto" w:sz="4" w:space="0"/>
                    <w:left w:val="single" w:color="auto" w:sz="4" w:space="0"/>
                    <w:bottom w:val="single" w:color="auto" w:sz="8" w:space="0"/>
                    <w:right w:val="single" w:color="auto" w:sz="4" w:space="0"/>
                  </w:tcBorders>
                  <w:vAlign w:val="center"/>
                </w:tcPr>
                <w:p w14:paraId="6D826DA2">
                  <w:pPr>
                    <w:pStyle w:val="86"/>
                  </w:pPr>
                  <w:r>
                    <w:t>本项目产品为</w:t>
                  </w:r>
                  <w:r>
                    <w:rPr>
                      <w:rFonts w:hint="eastAsia"/>
                    </w:rPr>
                    <w:t>再生塑料颗粒</w:t>
                  </w:r>
                </w:p>
              </w:tc>
              <w:tc>
                <w:tcPr>
                  <w:tcW w:w="733" w:type="dxa"/>
                  <w:vMerge w:val="continue"/>
                  <w:tcBorders>
                    <w:top w:val="single" w:color="auto" w:sz="4" w:space="0"/>
                    <w:left w:val="single" w:color="auto" w:sz="4" w:space="0"/>
                    <w:bottom w:val="single" w:color="auto" w:sz="4" w:space="0"/>
                    <w:right w:val="nil"/>
                  </w:tcBorders>
                  <w:vAlign w:val="center"/>
                </w:tcPr>
                <w:p w14:paraId="3FB4D6B0">
                  <w:pPr>
                    <w:pStyle w:val="86"/>
                    <w:rPr>
                      <w:kern w:val="2"/>
                      <w:szCs w:val="21"/>
                    </w:rPr>
                  </w:pPr>
                </w:p>
              </w:tc>
            </w:tr>
          </w:tbl>
          <w:p w14:paraId="761CFDDB">
            <w:pPr>
              <w:pStyle w:val="90"/>
              <w:ind w:firstLine="482"/>
            </w:pPr>
            <w:r>
              <w:rPr>
                <w:rFonts w:hint="eastAsia"/>
              </w:rPr>
              <w:t>3、项目选址符合性分析</w:t>
            </w:r>
          </w:p>
          <w:p w14:paraId="5143C0AE">
            <w:pPr>
              <w:pStyle w:val="28"/>
              <w:ind w:firstLine="480"/>
            </w:pPr>
            <w:r>
              <w:rPr>
                <w:rFonts w:hint="eastAsia"/>
              </w:rPr>
              <w:t>①本项目选址位于河南省新乡市获嘉县仁爱路与新华街南段交叉口西北产业集聚区二期1号，根据获嘉县产业集聚区总体发展规划（2016-2020）-北部用地布局规划图（见附图二），本项目位于获嘉县产业集聚区北部城南片区，项目所在区域用地属于一类工业用地，符合园区用地规划。</w:t>
            </w:r>
          </w:p>
          <w:p w14:paraId="2F43B272">
            <w:pPr>
              <w:pStyle w:val="28"/>
              <w:ind w:firstLine="480"/>
            </w:pPr>
            <w:r>
              <w:rPr>
                <w:rFonts w:hint="eastAsia"/>
              </w:rPr>
              <w:t>②距离本项目最近的饮用水水源地保护区为西北侧的获嘉县水厂地下水井群(史庄镇1～3号取水井、位庄乡4～15号取水井，共15眼井)二级保护区，与二级保护区的最近距离约</w:t>
            </w:r>
            <w:r>
              <w:t>2066</w:t>
            </w:r>
            <w:r>
              <w:rPr>
                <w:rFonts w:hint="eastAsia"/>
              </w:rPr>
              <w:t>m，不在其保护区范围内。</w:t>
            </w:r>
          </w:p>
          <w:p w14:paraId="5FFAA610">
            <w:pPr>
              <w:pStyle w:val="90"/>
              <w:ind w:firstLine="482"/>
            </w:pPr>
            <w:r>
              <w:t>4、与所在地三线一单对比分析</w:t>
            </w:r>
          </w:p>
          <w:p w14:paraId="2DC19E49">
            <w:pPr>
              <w:pStyle w:val="28"/>
              <w:ind w:firstLine="480"/>
            </w:pPr>
            <w:r>
              <w:t>（1）生态保护红线相符性</w:t>
            </w:r>
          </w:p>
          <w:p w14:paraId="77E234A0">
            <w:pPr>
              <w:pStyle w:val="28"/>
              <w:ind w:firstLine="480"/>
            </w:pPr>
            <w:r>
              <w:t>本项目位于</w:t>
            </w:r>
            <w:r>
              <w:rPr>
                <w:rFonts w:hint="eastAsia"/>
              </w:rPr>
              <w:t>河南省新乡市获嘉县仁爱路与新华街南段交叉口西北产业集聚区二期1号</w:t>
            </w:r>
            <w:r>
              <w:t>，不在当地饮用水源、风景区、自然保护区等生态保护区内，根据</w:t>
            </w:r>
            <w:r>
              <w:rPr>
                <w:rFonts w:hint="eastAsia"/>
              </w:rPr>
              <w:t>新乡市生态保护红线划定结果</w:t>
            </w:r>
            <w:r>
              <w:t>，本项目选址范围不涉及生态保护红线，本项目的实施与生态保护红线不冲突。</w:t>
            </w:r>
          </w:p>
          <w:p w14:paraId="3C09E3B9">
            <w:pPr>
              <w:pStyle w:val="28"/>
              <w:ind w:firstLine="480"/>
            </w:pPr>
            <w:r>
              <w:t>（2）资源利用上线相符性</w:t>
            </w:r>
          </w:p>
          <w:p w14:paraId="627204F3">
            <w:pPr>
              <w:pStyle w:val="28"/>
              <w:ind w:firstLine="480"/>
            </w:pPr>
            <w:r>
              <w:t>本项目用水为</w:t>
            </w:r>
            <w:r>
              <w:rPr>
                <w:rFonts w:hint="eastAsia"/>
              </w:rPr>
              <w:t>园区</w:t>
            </w:r>
            <w:r>
              <w:t>统一供水</w:t>
            </w:r>
            <w:r>
              <w:rPr>
                <w:rFonts w:hint="eastAsia"/>
              </w:rPr>
              <w:t>，</w:t>
            </w:r>
            <w:r>
              <w:t>能源主要为</w:t>
            </w:r>
            <w:r>
              <w:rPr>
                <w:rFonts w:hint="eastAsia"/>
              </w:rPr>
              <w:t>电力</w:t>
            </w:r>
            <w:r>
              <w:t>，由</w:t>
            </w:r>
            <w:r>
              <w:rPr>
                <w:rFonts w:hint="eastAsia"/>
              </w:rPr>
              <w:t>园区统一提供</w:t>
            </w:r>
            <w:r>
              <w:t>。项目建成运行后通过内部管理、设备选择、原辅材料的选用和管理、废物回收利用、污染治理等多方面采取合理可行的防治措施，以</w:t>
            </w:r>
            <w:r>
              <w:rPr>
                <w:rFonts w:hint="eastAsia"/>
              </w:rPr>
              <w:t>“</w:t>
            </w:r>
            <w:r>
              <w:t>节能、降耗、减污</w:t>
            </w:r>
            <w:r>
              <w:rPr>
                <w:rFonts w:hint="eastAsia"/>
              </w:rPr>
              <w:t>”</w:t>
            </w:r>
            <w:r>
              <w:t>为目标，有效地控制污染。项目的水、</w:t>
            </w:r>
            <w:r>
              <w:rPr>
                <w:rFonts w:hint="eastAsia"/>
              </w:rPr>
              <w:t>电</w:t>
            </w:r>
            <w:r>
              <w:t>等资源利用不会突破区域的资源利用上线。</w:t>
            </w:r>
          </w:p>
          <w:p w14:paraId="4B34C8D3">
            <w:pPr>
              <w:pStyle w:val="28"/>
              <w:ind w:firstLine="480"/>
            </w:pPr>
            <w:r>
              <w:t>（3）环境质量底线相符性</w:t>
            </w:r>
          </w:p>
          <w:p w14:paraId="43092BBB">
            <w:pPr>
              <w:pStyle w:val="28"/>
              <w:ind w:firstLine="480"/>
            </w:pPr>
            <w:r>
              <w:t>本项目</w:t>
            </w:r>
            <w:r>
              <w:rPr>
                <w:rFonts w:hint="eastAsia"/>
              </w:rPr>
              <w:t>废水、</w:t>
            </w:r>
            <w:r>
              <w:t>废气、噪声排放</w:t>
            </w:r>
            <w:r>
              <w:rPr>
                <w:rFonts w:hint="eastAsia"/>
              </w:rPr>
              <w:t>对周边环境影响较小，不会导致区域环境产生明显变化。</w:t>
            </w:r>
            <w:r>
              <w:t>项目对周边大气环境、地表水环境、地下水环境、声环境、土壤环境影响均可接受。</w:t>
            </w:r>
          </w:p>
          <w:p w14:paraId="0B662591">
            <w:pPr>
              <w:pStyle w:val="28"/>
              <w:ind w:firstLine="480"/>
            </w:pPr>
            <w:r>
              <w:rPr>
                <w:rFonts w:hint="eastAsia"/>
              </w:rPr>
              <w:t>（4）</w:t>
            </w:r>
            <w:r>
              <w:t>本项目选址位于</w:t>
            </w:r>
            <w:r>
              <w:rPr>
                <w:rFonts w:hint="eastAsia"/>
              </w:rPr>
              <w:t>河南省新乡市获嘉县仁爱路与新华街南段交叉口西北产业集聚区二期1号</w:t>
            </w:r>
            <w:r>
              <w:t>，</w:t>
            </w:r>
            <w:r>
              <w:rPr>
                <w:rFonts w:hint="eastAsia"/>
              </w:rPr>
              <w:t>参照河南省三线一单综合信息应用平台</w:t>
            </w:r>
            <w:r>
              <w:t>，本项目位于重点管控</w:t>
            </w:r>
            <w:r>
              <w:rPr>
                <w:rFonts w:hint="eastAsia"/>
              </w:rPr>
              <w:t>单元</w:t>
            </w:r>
            <w:r>
              <w:t>，具体位置见下图</w:t>
            </w:r>
            <w:r>
              <w:rPr>
                <w:rFonts w:hint="eastAsia"/>
              </w:rPr>
              <w:t>：</w:t>
            </w:r>
          </w:p>
          <w:p w14:paraId="07D8B8EB">
            <w:pPr>
              <w:pStyle w:val="28"/>
              <w:ind w:firstLine="480"/>
            </w:pPr>
          </w:p>
        </w:tc>
      </w:tr>
    </w:tbl>
    <w:p w14:paraId="4050E4A3">
      <w:pPr>
        <w:autoSpaceDE w:val="0"/>
        <w:autoSpaceDN w:val="0"/>
        <w:adjustRightInd w:val="0"/>
        <w:snapToGrid w:val="0"/>
        <w:rPr>
          <w:color w:val="000000" w:themeColor="text1"/>
          <w:kern w:val="0"/>
          <w:szCs w:val="21"/>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14:paraId="0F080CD0">
      <w:pPr>
        <w:pStyle w:val="92"/>
      </w:pPr>
      <w:r>
        <mc:AlternateContent>
          <mc:Choice Requires="wps">
            <w:drawing>
              <wp:anchor distT="0" distB="0" distL="114300" distR="114300" simplePos="0" relativeHeight="251660288" behindDoc="0" locked="0" layoutInCell="1" allowOverlap="1">
                <wp:simplePos x="0" y="0"/>
                <wp:positionH relativeFrom="column">
                  <wp:posOffset>6078220</wp:posOffset>
                </wp:positionH>
                <wp:positionV relativeFrom="paragraph">
                  <wp:posOffset>3075940</wp:posOffset>
                </wp:positionV>
                <wp:extent cx="75565" cy="75565"/>
                <wp:effectExtent l="0" t="0" r="19685" b="19685"/>
                <wp:wrapNone/>
                <wp:docPr id="5" name="椭圆 5"/>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78.6pt;margin-top:242.2pt;height:5.95pt;width:5.95pt;z-index:251660288;v-text-anchor:middle;mso-width-relative:page;mso-height-relative:page;" filled="f" stroked="t" coordsize="21600,21600" o:gfxdata="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TWRkdsAAAALAQAADwAAAAAAAAABACAAAAAiAAAAZHJzL2Rvd25yZXYueG1sUEsB&#10;AhQAFAAAAAgAh07iQKhU/gBkAgAA1QQAAA4AAAAAAAAAAQAgAAAAKgEAAGRycy9lMm9Eb2MueG1s&#10;UEsFBgAAAAAGAAYAWQEAAAAGAAAAAA==&#10;">
                <v:fill on="f" focussize="0,0"/>
                <v:stroke weight="2pt" color="#000000 [3200]"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5422900</wp:posOffset>
                </wp:positionH>
                <wp:positionV relativeFrom="paragraph">
                  <wp:posOffset>2291080</wp:posOffset>
                </wp:positionV>
                <wp:extent cx="641350" cy="336550"/>
                <wp:effectExtent l="0" t="0" r="63500" b="482600"/>
                <wp:wrapNone/>
                <wp:docPr id="14" name="圆角矩形标注 14"/>
                <wp:cNvGraphicFramePr/>
                <a:graphic xmlns:a="http://schemas.openxmlformats.org/drawingml/2006/main">
                  <a:graphicData uri="http://schemas.microsoft.com/office/word/2010/wordprocessingShape">
                    <wps:wsp>
                      <wps:cNvSpPr/>
                      <wps:spPr>
                        <a:xfrm>
                          <a:off x="0" y="0"/>
                          <a:ext cx="641350" cy="336550"/>
                        </a:xfrm>
                        <a:prstGeom prst="wedgeRoundRectCallout">
                          <a:avLst>
                            <a:gd name="adj1" fmla="val 54455"/>
                            <a:gd name="adj2" fmla="val 179433"/>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014797">
                            <w:pPr>
                              <w:jc w:val="center"/>
                            </w:pPr>
                            <w:r>
                              <w:rPr>
                                <w:rFonts w:hint="eastAsia"/>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27pt;margin-top:180.4pt;height:26.5pt;width:50.5pt;mso-position-horizontal-relative:margin;z-index:251659264;v-text-anchor:middle;mso-width-relative:page;mso-height-relative:page;" fillcolor="#FFFFFF [3201]" filled="t" stroked="t" coordsize="21600,21600" o:gfxdata="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6/VE7ZAAAACwEAAA8AAAAAAAAAAQAg&#10;AAAAIgAAAGRycy9kb3ducmV2LnhtbFBLAQIUABQAAAAIAIdO4kCcu/GeuAIAAHwFAAAOAAAAAAAA&#10;AAEAIAAAACgBAABkcnMvZTJvRG9jLnhtbFBLBQYAAAAABgAGAFkBAABSBgAAAAA=&#10;" adj="22562,49558,14400">
                <v:fill on="t" focussize="0,0"/>
                <v:stroke weight="1pt" color="#000000 [3213]" joinstyle="round"/>
                <v:imagedata o:title=""/>
                <o:lock v:ext="edit" aspectratio="f"/>
                <v:textbox>
                  <w:txbxContent>
                    <w:p w14:paraId="3A014797">
                      <w:pPr>
                        <w:jc w:val="center"/>
                      </w:pPr>
                      <w:r>
                        <w:rPr>
                          <w:rFonts w:hint="eastAsia"/>
                        </w:rPr>
                        <w:t>本项目</w:t>
                      </w:r>
                    </w:p>
                  </w:txbxContent>
                </v:textbox>
              </v:shape>
            </w:pict>
          </mc:Fallback>
        </mc:AlternateContent>
      </w:r>
      <w:r>
        <w:drawing>
          <wp:anchor distT="0" distB="0" distL="114300" distR="114300" simplePos="0" relativeHeight="251661312" behindDoc="0" locked="0" layoutInCell="1" allowOverlap="1">
            <wp:simplePos x="0" y="0"/>
            <wp:positionH relativeFrom="column">
              <wp:posOffset>7802245</wp:posOffset>
            </wp:positionH>
            <wp:positionV relativeFrom="paragraph">
              <wp:posOffset>220980</wp:posOffset>
            </wp:positionV>
            <wp:extent cx="673100" cy="764540"/>
            <wp:effectExtent l="0" t="0" r="12700" b="12700"/>
            <wp:wrapNone/>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5"/>
                    <a:stretch>
                      <a:fillRect/>
                    </a:stretch>
                  </pic:blipFill>
                  <pic:spPr>
                    <a:xfrm>
                      <a:off x="0" y="0"/>
                      <a:ext cx="673100" cy="764540"/>
                    </a:xfrm>
                    <a:prstGeom prst="rect">
                      <a:avLst/>
                    </a:prstGeom>
                    <a:noFill/>
                    <a:ln>
                      <a:noFill/>
                    </a:ln>
                  </pic:spPr>
                </pic:pic>
              </a:graphicData>
            </a:graphic>
          </wp:anchor>
        </w:drawing>
      </w:r>
      <w:r>
        <w:t xml:space="preserve"> </w:t>
      </w:r>
      <w:r>
        <w:drawing>
          <wp:inline distT="0" distB="0" distL="0" distR="0">
            <wp:extent cx="8531860" cy="5111750"/>
            <wp:effectExtent l="9525" t="9525" r="23495" b="14605"/>
            <wp:docPr id="1046923233"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23233" name="图片 1" descr="图形用户界面&#10;&#10;描述已自动生成"/>
                    <pic:cNvPicPr>
                      <a:picLocks noChangeAspect="1"/>
                    </pic:cNvPicPr>
                  </pic:nvPicPr>
                  <pic:blipFill>
                    <a:blip r:embed="rId16"/>
                    <a:stretch>
                      <a:fillRect/>
                    </a:stretch>
                  </pic:blipFill>
                  <pic:spPr>
                    <a:xfrm>
                      <a:off x="0" y="0"/>
                      <a:ext cx="8531860" cy="5111750"/>
                    </a:xfrm>
                    <a:prstGeom prst="rect">
                      <a:avLst/>
                    </a:prstGeom>
                    <a:ln>
                      <a:solidFill>
                        <a:schemeClr val="tx1"/>
                      </a:solidFill>
                    </a:ln>
                  </pic:spPr>
                </pic:pic>
              </a:graphicData>
            </a:graphic>
          </wp:inline>
        </w:drawing>
      </w:r>
    </w:p>
    <w:p w14:paraId="2991D183">
      <w:pPr>
        <w:pStyle w:val="92"/>
        <w:rPr>
          <w:b/>
        </w:rPr>
      </w:pPr>
      <w:r>
        <w:t>图1    新乡市环境管控单元图</w:t>
      </w:r>
    </w:p>
    <w:p w14:paraId="5627C27C">
      <w:pPr>
        <w:sectPr>
          <w:pgSz w:w="16838" w:h="11906" w:orient="landscape"/>
          <w:pgMar w:top="1531" w:right="1701" w:bottom="1531" w:left="1701" w:header="851" w:footer="1077" w:gutter="0"/>
          <w:cols w:space="720" w:num="1"/>
          <w:docGrid w:linePitch="312" w:charSpace="0"/>
        </w:sectPr>
      </w:pPr>
    </w:p>
    <w:tbl>
      <w:tblPr>
        <w:tblStyle w:val="20"/>
        <w:tblW w:w="13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12525"/>
      </w:tblGrid>
      <w:tr w14:paraId="3D2E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207" w:type="dxa"/>
            <w:vAlign w:val="center"/>
          </w:tcPr>
          <w:p w14:paraId="009D2528">
            <w:pPr>
              <w:autoSpaceDE w:val="0"/>
              <w:autoSpaceDN w:val="0"/>
              <w:adjustRightInd w:val="0"/>
              <w:snapToGrid w:val="0"/>
              <w:jc w:val="center"/>
              <w:rPr>
                <w:color w:val="000000" w:themeColor="text1"/>
                <w:kern w:val="0"/>
                <w:szCs w:val="21"/>
                <w14:textFill>
                  <w14:solidFill>
                    <w14:schemeClr w14:val="tx1"/>
                  </w14:solidFill>
                </w14:textFill>
              </w:rPr>
            </w:pPr>
          </w:p>
        </w:tc>
        <w:tc>
          <w:tcPr>
            <w:tcW w:w="12525" w:type="dxa"/>
          </w:tcPr>
          <w:p w14:paraId="27A71E5D">
            <w:pPr>
              <w:pStyle w:val="28"/>
              <w:ind w:firstLine="480"/>
            </w:pPr>
            <w:r>
              <w:t>本项目与《新乡市</w:t>
            </w:r>
            <w:r>
              <w:rPr>
                <w:rFonts w:hint="eastAsia"/>
              </w:rPr>
              <w:t>“</w:t>
            </w:r>
            <w:r>
              <w:t>三线一单</w:t>
            </w:r>
            <w:r>
              <w:rPr>
                <w:rFonts w:hint="eastAsia"/>
              </w:rPr>
              <w:t>”</w:t>
            </w:r>
            <w:r>
              <w:t>生态环境准入清单》（</w:t>
            </w:r>
            <w:r>
              <w:rPr>
                <w:rFonts w:hint="eastAsia"/>
              </w:rPr>
              <w:t>2023年版</w:t>
            </w:r>
            <w:r>
              <w:t>）（以下简称《清单》）中</w:t>
            </w:r>
            <w:r>
              <w:rPr>
                <w:rFonts w:hint="eastAsia"/>
              </w:rPr>
              <w:t>相关内容</w:t>
            </w:r>
            <w:r>
              <w:t>对比一致性分析见下表。</w:t>
            </w:r>
          </w:p>
          <w:p w14:paraId="51449D6B">
            <w:pPr>
              <w:pStyle w:val="67"/>
              <w:ind w:firstLine="480"/>
              <w:rPr>
                <w:lang w:val="pt-BR"/>
              </w:rPr>
            </w:pPr>
            <w:r>
              <w:rPr>
                <w:lang w:val="pt-BR"/>
              </w:rPr>
              <w:t xml:space="preserve">                        本项目与《清单》对比分析一览表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606"/>
              <w:gridCol w:w="860"/>
              <w:gridCol w:w="850"/>
              <w:gridCol w:w="590"/>
              <w:gridCol w:w="5705"/>
              <w:gridCol w:w="3089"/>
              <w:gridCol w:w="609"/>
            </w:tblGrid>
            <w:tr w14:paraId="57AE4A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2309" w:type="dxa"/>
                  <w:gridSpan w:val="7"/>
                  <w:vAlign w:val="center"/>
                </w:tcPr>
                <w:p w14:paraId="5057E9B9">
                  <w:pPr>
                    <w:pStyle w:val="86"/>
                    <w:rPr>
                      <w:b/>
                      <w:bCs w:val="0"/>
                      <w:snapToGrid w:val="0"/>
                    </w:rPr>
                  </w:pPr>
                  <w:r>
                    <w:rPr>
                      <w:b/>
                      <w:bCs w:val="0"/>
                      <w:snapToGrid w:val="0"/>
                    </w:rPr>
                    <w:t>新乡市生态环境总体准入要求</w:t>
                  </w:r>
                </w:p>
              </w:tc>
            </w:tr>
            <w:tr w14:paraId="404953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611" w:type="dxa"/>
                  <w:gridSpan w:val="5"/>
                  <w:vAlign w:val="center"/>
                </w:tcPr>
                <w:p w14:paraId="5463769B">
                  <w:pPr>
                    <w:pStyle w:val="86"/>
                    <w:rPr>
                      <w:b/>
                      <w:bCs w:val="0"/>
                      <w:snapToGrid w:val="0"/>
                    </w:rPr>
                  </w:pPr>
                  <w:r>
                    <w:rPr>
                      <w:b/>
                      <w:bCs w:val="0"/>
                      <w:snapToGrid w:val="0"/>
                    </w:rPr>
                    <w:t>管控要求</w:t>
                  </w:r>
                </w:p>
              </w:tc>
              <w:tc>
                <w:tcPr>
                  <w:tcW w:w="3089" w:type="dxa"/>
                  <w:vAlign w:val="center"/>
                </w:tcPr>
                <w:p w14:paraId="06C9EDBB">
                  <w:pPr>
                    <w:pStyle w:val="86"/>
                    <w:rPr>
                      <w:b/>
                      <w:bCs w:val="0"/>
                      <w:snapToGrid w:val="0"/>
                    </w:rPr>
                  </w:pPr>
                  <w:r>
                    <w:rPr>
                      <w:b/>
                      <w:bCs w:val="0"/>
                      <w:snapToGrid w:val="0"/>
                    </w:rPr>
                    <w:t>本项目情况</w:t>
                  </w:r>
                </w:p>
              </w:tc>
              <w:tc>
                <w:tcPr>
                  <w:tcW w:w="609" w:type="dxa"/>
                  <w:vAlign w:val="center"/>
                </w:tcPr>
                <w:p w14:paraId="0BB1D51C">
                  <w:pPr>
                    <w:pStyle w:val="86"/>
                    <w:rPr>
                      <w:b/>
                      <w:bCs w:val="0"/>
                      <w:snapToGrid w:val="0"/>
                    </w:rPr>
                  </w:pPr>
                  <w:r>
                    <w:rPr>
                      <w:b/>
                      <w:bCs w:val="0"/>
                      <w:snapToGrid w:val="0"/>
                    </w:rPr>
                    <w:t>是否符合</w:t>
                  </w:r>
                </w:p>
              </w:tc>
            </w:tr>
            <w:tr w14:paraId="72DB96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restart"/>
                  <w:vAlign w:val="center"/>
                </w:tcPr>
                <w:p w14:paraId="58082A61">
                  <w:pPr>
                    <w:pStyle w:val="86"/>
                  </w:pPr>
                  <w:r>
                    <w:t>空间布局约束</w:t>
                  </w:r>
                </w:p>
              </w:tc>
              <w:tc>
                <w:tcPr>
                  <w:tcW w:w="6295" w:type="dxa"/>
                  <w:gridSpan w:val="2"/>
                  <w:vAlign w:val="center"/>
                </w:tcPr>
                <w:p w14:paraId="380D32F6">
                  <w:pPr>
                    <w:pStyle w:val="82"/>
                    <w:ind w:firstLine="420"/>
                    <w:rPr>
                      <w:lang w:bidi="ar"/>
                    </w:rPr>
                  </w:pPr>
                  <w:r>
                    <w:rPr>
                      <w:rFonts w:hint="eastAsia"/>
                      <w:lang w:bidi="ar"/>
                    </w:rPr>
                    <w:t>1.禁止在自然保护区内进行砍伐、放牧、狩猎、捕捞、采药、开垦、烧荒、开矿、采石、挖沙等活动；但是，法律、行政法规另有规定的除外。</w:t>
                  </w:r>
                </w:p>
                <w:p w14:paraId="6D68EB2B">
                  <w:pPr>
                    <w:pStyle w:val="82"/>
                    <w:ind w:firstLine="420"/>
                    <w:rPr>
                      <w:lang w:bidi="ar"/>
                    </w:rPr>
                  </w:pPr>
                  <w:r>
                    <w:rPr>
                      <w:rFonts w:hint="eastAsia"/>
                      <w:lang w:bidi="ar"/>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14:paraId="6D12CEB9">
                  <w:pPr>
                    <w:pStyle w:val="82"/>
                    <w:ind w:firstLine="420"/>
                    <w:rPr>
                      <w:lang w:bidi="ar"/>
                    </w:rPr>
                  </w:pPr>
                  <w:r>
                    <w:rPr>
                      <w:rFonts w:hint="eastAsia"/>
                      <w:lang w:bidi="ar"/>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14:paraId="169DEA10">
                  <w:pPr>
                    <w:pStyle w:val="82"/>
                    <w:ind w:firstLine="420"/>
                    <w:rPr>
                      <w:lang w:bidi="ar"/>
                    </w:rPr>
                  </w:pPr>
                  <w:r>
                    <w:rPr>
                      <w:rFonts w:hint="eastAsia"/>
                      <w:lang w:bidi="ar"/>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3089" w:type="dxa"/>
                  <w:vAlign w:val="center"/>
                </w:tcPr>
                <w:p w14:paraId="432936A3">
                  <w:pPr>
                    <w:pStyle w:val="82"/>
                    <w:ind w:firstLine="420"/>
                    <w:rPr>
                      <w:color w:val="FF0000"/>
                    </w:rPr>
                  </w:pPr>
                  <w:r>
                    <w:rPr>
                      <w:rFonts w:hint="eastAsia"/>
                    </w:rPr>
                    <w:t>本项目位于河南省新乡市获嘉县仁爱路与新华街南段交叉口西北产业集聚区二期1号，根据获嘉县产业集聚区总体发展规划（2016-2020）-北部用地布局规划图，该项目用地属于一类工业用地。本项目建设范围内不涉及自然保护区、风景名胜区、饮用水源保护区、南水北调保护区、生态保护红线，符合用地规划要求。</w:t>
                  </w:r>
                </w:p>
              </w:tc>
              <w:tc>
                <w:tcPr>
                  <w:tcW w:w="609" w:type="dxa"/>
                  <w:vAlign w:val="center"/>
                </w:tcPr>
                <w:p w14:paraId="1F21E85A">
                  <w:pPr>
                    <w:pStyle w:val="86"/>
                  </w:pPr>
                  <w:r>
                    <w:rPr>
                      <w:rFonts w:hint="eastAsia"/>
                    </w:rPr>
                    <w:t>符合</w:t>
                  </w:r>
                </w:p>
              </w:tc>
            </w:tr>
            <w:tr w14:paraId="01AA67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6D18EE0E">
                  <w:pPr>
                    <w:widowControl/>
                    <w:jc w:val="center"/>
                    <w:outlineLvl w:val="0"/>
                    <w:rPr>
                      <w:b/>
                      <w:snapToGrid w:val="0"/>
                      <w:color w:val="000000" w:themeColor="text1"/>
                      <w:szCs w:val="21"/>
                      <w14:textFill>
                        <w14:solidFill>
                          <w14:schemeClr w14:val="tx1"/>
                        </w14:solidFill>
                      </w14:textFill>
                    </w:rPr>
                  </w:pPr>
                </w:p>
              </w:tc>
              <w:tc>
                <w:tcPr>
                  <w:tcW w:w="6295" w:type="dxa"/>
                  <w:gridSpan w:val="2"/>
                  <w:vAlign w:val="center"/>
                </w:tcPr>
                <w:p w14:paraId="70716DDE">
                  <w:pPr>
                    <w:pStyle w:val="82"/>
                    <w:ind w:firstLine="420"/>
                    <w:rPr>
                      <w:lang w:bidi="ar"/>
                    </w:rPr>
                  </w:pPr>
                  <w:r>
                    <w:rPr>
                      <w:rFonts w:hint="eastAsia"/>
                      <w:lang w:bidi="ar"/>
                    </w:rPr>
                    <w:t>8.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按照“可替尽替、应代尽代”的原则，开展汽车制造、工业涂装、家具制造、包装印刷、钢结构制造、工程机械等行业溶剂型涂料、油墨、胶粘剂、清洗剂使用低VOCs含量原辅材料替代。禁止生产、销售不符合标准的机动车船、非道路移动机械用燃料；禁止向汽车和摩托车销售普通柴油以及其他非机动车用燃料；禁止向非道路移动机械销售渣油、重油和不符合规定的燃用油。</w:t>
                  </w:r>
                </w:p>
              </w:tc>
              <w:tc>
                <w:tcPr>
                  <w:tcW w:w="3089" w:type="dxa"/>
                  <w:vAlign w:val="center"/>
                </w:tcPr>
                <w:p w14:paraId="4A90D54F">
                  <w:pPr>
                    <w:pStyle w:val="82"/>
                    <w:ind w:firstLine="420"/>
                    <w:rPr>
                      <w:snapToGrid w:val="0"/>
                      <w:color w:val="FF0000"/>
                    </w:rPr>
                  </w:pPr>
                  <w:r>
                    <w:rPr>
                      <w:rFonts w:hint="eastAsia"/>
                      <w:snapToGrid w:val="0"/>
                    </w:rPr>
                    <w:t>本项目选址位于河南省新乡市获嘉县仁爱路与新华街南段交叉口西北产业集聚区二期1号，不生产和使用高挥发性有机物含量的溶剂型涂料、油墨、胶粘剂等。本项目原料为废塑料皮，</w:t>
                  </w:r>
                  <w:r>
                    <w:rPr>
                      <w:rFonts w:hint="eastAsia"/>
                      <w:lang w:bidi="ar"/>
                    </w:rPr>
                    <w:t>熔融挤出工序产</w:t>
                  </w:r>
                  <w:r>
                    <w:rPr>
                      <w:rFonts w:hint="eastAsia"/>
                    </w:rPr>
                    <w:t>生的有机废气经工业高压静电油烟净化装置+活性炭吸附/脱附</w:t>
                  </w:r>
                  <w:r>
                    <w:t>-</w:t>
                  </w:r>
                  <w:r>
                    <w:rPr>
                      <w:rFonts w:hint="eastAsia"/>
                    </w:rPr>
                    <w:t>催化燃烧装置处理后达标排放，并实</w:t>
                  </w:r>
                  <w:r>
                    <w:rPr>
                      <w:rFonts w:hint="eastAsia"/>
                      <w:lang w:bidi="ar"/>
                    </w:rPr>
                    <w:t>行区域内VOCs排放总量倍量消减替代。</w:t>
                  </w:r>
                </w:p>
              </w:tc>
              <w:tc>
                <w:tcPr>
                  <w:tcW w:w="609" w:type="dxa"/>
                  <w:vAlign w:val="center"/>
                </w:tcPr>
                <w:p w14:paraId="315414B0">
                  <w:pPr>
                    <w:pStyle w:val="86"/>
                    <w:rPr>
                      <w:b/>
                      <w:snapToGrid w:val="0"/>
                      <w:szCs w:val="21"/>
                    </w:rPr>
                  </w:pPr>
                  <w:r>
                    <w:t>符合</w:t>
                  </w:r>
                </w:p>
              </w:tc>
            </w:tr>
            <w:tr w14:paraId="473984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014C93A3">
                  <w:pPr>
                    <w:widowControl/>
                    <w:jc w:val="center"/>
                    <w:outlineLvl w:val="0"/>
                    <w:rPr>
                      <w:b/>
                      <w:snapToGrid w:val="0"/>
                      <w:color w:val="000000" w:themeColor="text1"/>
                      <w:szCs w:val="21"/>
                      <w14:textFill>
                        <w14:solidFill>
                          <w14:schemeClr w14:val="tx1"/>
                        </w14:solidFill>
                      </w14:textFill>
                    </w:rPr>
                  </w:pPr>
                </w:p>
              </w:tc>
              <w:tc>
                <w:tcPr>
                  <w:tcW w:w="6295" w:type="dxa"/>
                  <w:gridSpan w:val="2"/>
                  <w:vAlign w:val="center"/>
                </w:tcPr>
                <w:p w14:paraId="71C88BD0">
                  <w:pPr>
                    <w:pStyle w:val="82"/>
                    <w:ind w:firstLine="420"/>
                    <w:rPr>
                      <w:lang w:bidi="ar"/>
                    </w:rPr>
                  </w:pPr>
                  <w:r>
                    <w:rPr>
                      <w:rFonts w:hint="eastAsia"/>
                      <w:lang w:bidi="ar"/>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新建“两高”项目应按照《生态环境部办公厅关于加强重点行业建设项目区域削减措施监督管理的通知》（环办环评〔2020〕36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3089" w:type="dxa"/>
                  <w:vAlign w:val="center"/>
                </w:tcPr>
                <w:p w14:paraId="35A892DC">
                  <w:pPr>
                    <w:pStyle w:val="82"/>
                    <w:ind w:firstLine="420"/>
                    <w:rPr>
                      <w:snapToGrid w:val="0"/>
                      <w:color w:val="FF0000"/>
                    </w:rPr>
                  </w:pPr>
                  <w:r>
                    <w:t>本项目</w:t>
                  </w:r>
                  <w:r>
                    <w:rPr>
                      <w:rFonts w:hint="eastAsia"/>
                    </w:rPr>
                    <w:t>为再生塑料颗粒加工项目，</w:t>
                  </w:r>
                  <w:r>
                    <w:t>不属于</w:t>
                  </w:r>
                  <w:r>
                    <w:rPr>
                      <w:rFonts w:hint="eastAsia"/>
                      <w:kern w:val="2"/>
                      <w:szCs w:val="24"/>
                    </w:rPr>
                    <w:t>钢铁冶炼、水泥、有色金属冶炼、平板玻璃、化工、建筑陶瓷、耐火材料、砖瓦、矿山开采</w:t>
                  </w:r>
                  <w:r>
                    <w:t>等行业的高排放、高污染项目。</w:t>
                  </w:r>
                  <w:r>
                    <w:rPr>
                      <w:rFonts w:hint="eastAsia"/>
                    </w:rPr>
                    <w:t>不属于</w:t>
                  </w:r>
                  <w:r>
                    <w:rPr>
                      <w:rFonts w:hint="eastAsia"/>
                      <w:lang w:bidi="ar"/>
                    </w:rPr>
                    <w:t>“两高”</w:t>
                  </w:r>
                  <w:r>
                    <w:rPr>
                      <w:rFonts w:hint="eastAsia"/>
                    </w:rPr>
                    <w:t>项目。不属于</w:t>
                  </w:r>
                  <w:r>
                    <w:rPr>
                      <w:rFonts w:hint="eastAsia"/>
                      <w:lang w:bidi="ar"/>
                    </w:rPr>
                    <w:t>石化、现代煤化工、焦化、有色金属冶炼、平板玻璃等项目，不涉及燃煤。</w:t>
                  </w:r>
                </w:p>
              </w:tc>
              <w:tc>
                <w:tcPr>
                  <w:tcW w:w="609" w:type="dxa"/>
                  <w:vAlign w:val="center"/>
                </w:tcPr>
                <w:p w14:paraId="1F16C2BD">
                  <w:pPr>
                    <w:pStyle w:val="86"/>
                    <w:rPr>
                      <w:b/>
                      <w:snapToGrid w:val="0"/>
                      <w:szCs w:val="21"/>
                    </w:rPr>
                  </w:pPr>
                  <w:r>
                    <w:t>符合</w:t>
                  </w:r>
                </w:p>
              </w:tc>
            </w:tr>
            <w:tr w14:paraId="42D93A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restart"/>
                  <w:vAlign w:val="center"/>
                </w:tcPr>
                <w:p w14:paraId="04A4E880">
                  <w:pPr>
                    <w:widowControl/>
                    <w:jc w:val="center"/>
                    <w:outlineLvl w:val="0"/>
                    <w:rPr>
                      <w:b/>
                      <w:snapToGrid w:val="0"/>
                      <w:color w:val="000000" w:themeColor="text1"/>
                      <w:szCs w:val="21"/>
                      <w14:textFill>
                        <w14:solidFill>
                          <w14:schemeClr w14:val="tx1"/>
                        </w14:solidFill>
                      </w14:textFill>
                    </w:rPr>
                  </w:pPr>
                  <w:r>
                    <w:rPr>
                      <w:color w:val="000000" w:themeColor="text1"/>
                      <w14:textFill>
                        <w14:solidFill>
                          <w14:schemeClr w14:val="tx1"/>
                        </w14:solidFill>
                      </w14:textFill>
                    </w:rPr>
                    <w:t>污染物排放管控</w:t>
                  </w:r>
                </w:p>
              </w:tc>
              <w:tc>
                <w:tcPr>
                  <w:tcW w:w="6295" w:type="dxa"/>
                  <w:gridSpan w:val="2"/>
                  <w:vAlign w:val="center"/>
                </w:tcPr>
                <w:p w14:paraId="45783AAF">
                  <w:pPr>
                    <w:pStyle w:val="82"/>
                    <w:ind w:firstLine="420"/>
                    <w:rPr>
                      <w:lang w:bidi="ar"/>
                    </w:rPr>
                  </w:pPr>
                  <w:r>
                    <w:rPr>
                      <w:rFonts w:hint="eastAsia"/>
                      <w:lang w:bidi="ar"/>
                    </w:rPr>
                    <w:t>1.新、改、扩建项目主要污染物排放要求满足当地总量减排要求。</w:t>
                  </w:r>
                </w:p>
              </w:tc>
              <w:tc>
                <w:tcPr>
                  <w:tcW w:w="3089" w:type="dxa"/>
                  <w:vAlign w:val="center"/>
                </w:tcPr>
                <w:p w14:paraId="307030A7">
                  <w:pPr>
                    <w:pStyle w:val="82"/>
                    <w:ind w:firstLine="420"/>
                    <w:rPr>
                      <w:b/>
                      <w:snapToGrid w:val="0"/>
                      <w:color w:val="FF0000"/>
                    </w:rPr>
                  </w:pPr>
                  <w:r>
                    <w:t>本项目</w:t>
                  </w:r>
                  <w:r>
                    <w:rPr>
                      <w:rFonts w:hint="eastAsia"/>
                    </w:rPr>
                    <w:t>为扩建项目，</w:t>
                  </w:r>
                  <w:r>
                    <w:t>主要污染物排放满足当地总量减排要求。</w:t>
                  </w:r>
                </w:p>
              </w:tc>
              <w:tc>
                <w:tcPr>
                  <w:tcW w:w="609" w:type="dxa"/>
                  <w:vAlign w:val="center"/>
                </w:tcPr>
                <w:p w14:paraId="5B0751C8">
                  <w:pPr>
                    <w:pStyle w:val="86"/>
                  </w:pPr>
                  <w:r>
                    <w:t>符合</w:t>
                  </w:r>
                </w:p>
              </w:tc>
            </w:tr>
            <w:tr w14:paraId="6FD1FF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4EF2BB5C">
                  <w:pPr>
                    <w:widowControl/>
                    <w:jc w:val="center"/>
                    <w:outlineLvl w:val="0"/>
                    <w:rPr>
                      <w:color w:val="000000" w:themeColor="text1"/>
                      <w14:textFill>
                        <w14:solidFill>
                          <w14:schemeClr w14:val="tx1"/>
                        </w14:solidFill>
                      </w14:textFill>
                    </w:rPr>
                  </w:pPr>
                </w:p>
              </w:tc>
              <w:tc>
                <w:tcPr>
                  <w:tcW w:w="6295" w:type="dxa"/>
                  <w:gridSpan w:val="2"/>
                  <w:vAlign w:val="center"/>
                </w:tcPr>
                <w:p w14:paraId="510AA418">
                  <w:pPr>
                    <w:pStyle w:val="82"/>
                    <w:ind w:firstLine="420"/>
                    <w:rPr>
                      <w:lang w:bidi="ar"/>
                    </w:rPr>
                  </w:pPr>
                  <w:r>
                    <w:rPr>
                      <w:rFonts w:hint="eastAsia"/>
                      <w:lang w:bidi="ar"/>
                    </w:rPr>
                    <w:t>4、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减量替代”原则，应符合《新乡市“十四五”重金属污染防控工作方案》相关要求。</w:t>
                  </w:r>
                </w:p>
              </w:tc>
              <w:tc>
                <w:tcPr>
                  <w:tcW w:w="3089" w:type="dxa"/>
                  <w:vAlign w:val="center"/>
                </w:tcPr>
                <w:p w14:paraId="2046073C">
                  <w:pPr>
                    <w:pStyle w:val="82"/>
                    <w:ind w:firstLine="420"/>
                  </w:pPr>
                  <w:r>
                    <w:rPr>
                      <w:rFonts w:hint="eastAsia"/>
                    </w:rPr>
                    <w:t>本项目不涉及</w:t>
                  </w:r>
                  <w:r>
                    <w:rPr>
                      <w:rFonts w:hint="eastAsia"/>
                      <w:lang w:bidi="ar"/>
                    </w:rPr>
                    <w:t>重金属污染物。</w:t>
                  </w:r>
                </w:p>
              </w:tc>
              <w:tc>
                <w:tcPr>
                  <w:tcW w:w="609" w:type="dxa"/>
                  <w:vAlign w:val="center"/>
                </w:tcPr>
                <w:p w14:paraId="39904C75">
                  <w:pPr>
                    <w:pStyle w:val="86"/>
                  </w:pPr>
                  <w:r>
                    <w:rPr>
                      <w:rFonts w:hint="eastAsia"/>
                    </w:rPr>
                    <w:t>/</w:t>
                  </w:r>
                </w:p>
              </w:tc>
            </w:tr>
            <w:tr w14:paraId="18DE47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Merge w:val="continue"/>
                  <w:vAlign w:val="center"/>
                </w:tcPr>
                <w:p w14:paraId="22ADC516">
                  <w:pPr>
                    <w:widowControl/>
                    <w:jc w:val="center"/>
                    <w:outlineLvl w:val="0"/>
                    <w:rPr>
                      <w:color w:val="000000" w:themeColor="text1"/>
                      <w14:textFill>
                        <w14:solidFill>
                          <w14:schemeClr w14:val="tx1"/>
                        </w14:solidFill>
                      </w14:textFill>
                    </w:rPr>
                  </w:pPr>
                </w:p>
              </w:tc>
              <w:tc>
                <w:tcPr>
                  <w:tcW w:w="6295" w:type="dxa"/>
                  <w:gridSpan w:val="2"/>
                  <w:vAlign w:val="center"/>
                </w:tcPr>
                <w:p w14:paraId="7F6EB195">
                  <w:pPr>
                    <w:pStyle w:val="82"/>
                    <w:ind w:firstLine="420"/>
                    <w:rPr>
                      <w:lang w:bidi="ar"/>
                    </w:rPr>
                  </w:pPr>
                  <w:r>
                    <w:rPr>
                      <w:rFonts w:hint="eastAsia"/>
                      <w:lang w:bidi="ar"/>
                    </w:rPr>
                    <w:t>8、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w:t>
                  </w:r>
                </w:p>
              </w:tc>
              <w:tc>
                <w:tcPr>
                  <w:tcW w:w="3089" w:type="dxa"/>
                  <w:vAlign w:val="center"/>
                </w:tcPr>
                <w:p w14:paraId="549FA41A">
                  <w:pPr>
                    <w:pStyle w:val="82"/>
                    <w:ind w:firstLine="420"/>
                    <w:rPr>
                      <w:color w:val="FF0000"/>
                    </w:rPr>
                  </w:pPr>
                  <w:r>
                    <w:t>本项目</w:t>
                  </w:r>
                  <w:r>
                    <w:rPr>
                      <w:rFonts w:hint="eastAsia"/>
                    </w:rPr>
                    <w:t>为扩建再生塑料颗粒加工项目，按照《河南省重污染天气重点行业应急减排措施制定技术指南（2024年修订版）》塑料制品行业A级企业分级指标要求进行建设。</w:t>
                  </w:r>
                </w:p>
              </w:tc>
              <w:tc>
                <w:tcPr>
                  <w:tcW w:w="609" w:type="dxa"/>
                  <w:vAlign w:val="center"/>
                </w:tcPr>
                <w:p w14:paraId="0B6766C5">
                  <w:pPr>
                    <w:pStyle w:val="86"/>
                  </w:pPr>
                  <w:r>
                    <w:t>符合</w:t>
                  </w:r>
                </w:p>
              </w:tc>
            </w:tr>
            <w:tr w14:paraId="31CE25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Align w:val="center"/>
                </w:tcPr>
                <w:p w14:paraId="3D89297A">
                  <w:pPr>
                    <w:widowControl/>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环境风险防控</w:t>
                  </w:r>
                </w:p>
              </w:tc>
              <w:tc>
                <w:tcPr>
                  <w:tcW w:w="6295" w:type="dxa"/>
                  <w:gridSpan w:val="2"/>
                  <w:vAlign w:val="center"/>
                </w:tcPr>
                <w:p w14:paraId="520900A4">
                  <w:pPr>
                    <w:pStyle w:val="82"/>
                    <w:ind w:firstLine="420"/>
                    <w:rPr>
                      <w:lang w:bidi="ar"/>
                    </w:rPr>
                  </w:pPr>
                  <w:r>
                    <w:rPr>
                      <w:rFonts w:hint="eastAsia"/>
                      <w:lang w:bidi="ar"/>
                    </w:rPr>
                    <w:t>1、地下水漏斗区、重金属污染区、生态严重退化区等区域：探索开展耕地轮作休耕试点；实行休耕补贴，引导农民自愿将重度污染耕地退出农业生产。</w:t>
                  </w:r>
                </w:p>
              </w:tc>
              <w:tc>
                <w:tcPr>
                  <w:tcW w:w="3089" w:type="dxa"/>
                  <w:vAlign w:val="center"/>
                </w:tcPr>
                <w:p w14:paraId="3E6A6CD1">
                  <w:pPr>
                    <w:pStyle w:val="82"/>
                    <w:ind w:firstLine="420"/>
                    <w:rPr>
                      <w:b/>
                      <w:snapToGrid w:val="0"/>
                      <w:color w:val="FF0000"/>
                    </w:rPr>
                  </w:pPr>
                  <w:r>
                    <w:t>本项目选址不属于地下水漏斗区、重金属污染区、生态严重退化区等区域。</w:t>
                  </w:r>
                </w:p>
              </w:tc>
              <w:tc>
                <w:tcPr>
                  <w:tcW w:w="609" w:type="dxa"/>
                  <w:vAlign w:val="center"/>
                </w:tcPr>
                <w:p w14:paraId="13DD7495">
                  <w:pPr>
                    <w:pStyle w:val="86"/>
                    <w:rPr>
                      <w:b/>
                      <w:snapToGrid w:val="0"/>
                      <w:szCs w:val="21"/>
                    </w:rPr>
                  </w:pPr>
                  <w:r>
                    <w:t>符合</w:t>
                  </w:r>
                </w:p>
              </w:tc>
            </w:tr>
            <w:tr w14:paraId="5071C4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16" w:type="dxa"/>
                  <w:gridSpan w:val="3"/>
                  <w:vAlign w:val="center"/>
                </w:tcPr>
                <w:p w14:paraId="4C8B7511">
                  <w:pPr>
                    <w:widowControl/>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资源开发效率要求</w:t>
                  </w:r>
                </w:p>
              </w:tc>
              <w:tc>
                <w:tcPr>
                  <w:tcW w:w="6295" w:type="dxa"/>
                  <w:gridSpan w:val="2"/>
                  <w:vAlign w:val="center"/>
                </w:tcPr>
                <w:p w14:paraId="1D16F51B">
                  <w:pPr>
                    <w:pStyle w:val="82"/>
                    <w:ind w:firstLine="420"/>
                    <w:rPr>
                      <w:lang w:bidi="ar"/>
                    </w:rPr>
                  </w:pPr>
                  <w:r>
                    <w:rPr>
                      <w:rFonts w:hint="eastAsia"/>
                      <w:lang w:bidi="ar"/>
                    </w:rPr>
                    <w:t>1.“十四五”期间按照政府目标控制能耗增量指标。严控新增耗煤项目，新、改、扩建项目实施煤炭减量替代，重点削减非电力用煤。鼓励使用清洁燃料，重点区域建设项目原则上不新建燃煤自备锅炉。2023年底，全面淘汰35蒸吨/小时及以下的燃煤锅炉，鼓励淘汰4蒸吨/小时以下生物质锅炉，保留现有生物质锅炉应采用专用炉具，禁止掺烧煤炭、垃圾、工业固体废物等其他物料。</w:t>
                  </w:r>
                </w:p>
              </w:tc>
              <w:tc>
                <w:tcPr>
                  <w:tcW w:w="3089" w:type="dxa"/>
                  <w:vAlign w:val="center"/>
                </w:tcPr>
                <w:p w14:paraId="14C5BDD1">
                  <w:pPr>
                    <w:pStyle w:val="82"/>
                    <w:ind w:firstLine="420"/>
                    <w:rPr>
                      <w:color w:val="FF0000"/>
                    </w:rPr>
                  </w:pPr>
                  <w:r>
                    <w:t>本项目</w:t>
                  </w:r>
                  <w:r>
                    <w:rPr>
                      <w:rFonts w:hint="eastAsia"/>
                    </w:rPr>
                    <w:t>采用电力等清洁能源，不涉及煤等高污染燃料</w:t>
                  </w:r>
                  <w:r>
                    <w:t>。</w:t>
                  </w:r>
                </w:p>
              </w:tc>
              <w:tc>
                <w:tcPr>
                  <w:tcW w:w="609" w:type="dxa"/>
                  <w:vAlign w:val="center"/>
                </w:tcPr>
                <w:p w14:paraId="010FA677">
                  <w:pPr>
                    <w:pStyle w:val="86"/>
                  </w:pPr>
                  <w:r>
                    <w:t>符合</w:t>
                  </w:r>
                </w:p>
              </w:tc>
            </w:tr>
            <w:tr w14:paraId="5107F1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2309" w:type="dxa"/>
                  <w:gridSpan w:val="7"/>
                  <w:vAlign w:val="center"/>
                </w:tcPr>
                <w:p w14:paraId="3797AE56">
                  <w:pPr>
                    <w:widowControl/>
                    <w:jc w:val="center"/>
                    <w:outlineLvl w:val="0"/>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新乡市各县区分区管控单元生态环境准入清单</w:t>
                  </w:r>
                </w:p>
              </w:tc>
            </w:tr>
            <w:tr w14:paraId="7DE116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Align w:val="center"/>
                </w:tcPr>
                <w:p w14:paraId="38CBC0E3">
                  <w:pPr>
                    <w:widowControl/>
                    <w:jc w:val="center"/>
                    <w:outlineLvl w:val="0"/>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行政区划</w:t>
                  </w:r>
                </w:p>
              </w:tc>
              <w:tc>
                <w:tcPr>
                  <w:tcW w:w="860" w:type="dxa"/>
                  <w:vAlign w:val="center"/>
                </w:tcPr>
                <w:p w14:paraId="7BB3A38C">
                  <w:pPr>
                    <w:widowControl/>
                    <w:jc w:val="center"/>
                    <w:outlineLvl w:val="0"/>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管控单元分类</w:t>
                  </w:r>
                </w:p>
              </w:tc>
              <w:tc>
                <w:tcPr>
                  <w:tcW w:w="850" w:type="dxa"/>
                  <w:vAlign w:val="center"/>
                </w:tcPr>
                <w:p w14:paraId="35961EF5">
                  <w:pPr>
                    <w:widowControl/>
                    <w:jc w:val="center"/>
                    <w:outlineLvl w:val="0"/>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环境管理类别</w:t>
                  </w:r>
                </w:p>
              </w:tc>
              <w:tc>
                <w:tcPr>
                  <w:tcW w:w="6295" w:type="dxa"/>
                  <w:gridSpan w:val="2"/>
                  <w:vAlign w:val="center"/>
                </w:tcPr>
                <w:p w14:paraId="5B2E6276">
                  <w:pPr>
                    <w:widowControl/>
                    <w:jc w:val="center"/>
                    <w:outlineLvl w:val="0"/>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管控要求</w:t>
                  </w:r>
                </w:p>
              </w:tc>
              <w:tc>
                <w:tcPr>
                  <w:tcW w:w="3089" w:type="dxa"/>
                  <w:vAlign w:val="center"/>
                </w:tcPr>
                <w:p w14:paraId="1D843152">
                  <w:pPr>
                    <w:widowControl/>
                    <w:jc w:val="center"/>
                    <w:outlineLvl w:val="0"/>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本项目情况</w:t>
                  </w:r>
                </w:p>
              </w:tc>
              <w:tc>
                <w:tcPr>
                  <w:tcW w:w="609" w:type="dxa"/>
                  <w:vAlign w:val="center"/>
                </w:tcPr>
                <w:p w14:paraId="7364D234">
                  <w:pPr>
                    <w:widowControl/>
                    <w:jc w:val="center"/>
                    <w:outlineLvl w:val="0"/>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是否符合</w:t>
                  </w:r>
                </w:p>
              </w:tc>
            </w:tr>
            <w:tr w14:paraId="3DBD32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restart"/>
                  <w:vAlign w:val="center"/>
                </w:tcPr>
                <w:p w14:paraId="3F2F68AD">
                  <w:pPr>
                    <w:pStyle w:val="86"/>
                    <w:rPr>
                      <w:snapToGrid w:val="0"/>
                      <w:kern w:val="2"/>
                    </w:rPr>
                  </w:pPr>
                  <w:r>
                    <w:rPr>
                      <w:rFonts w:hint="eastAsia"/>
                      <w:snapToGrid w:val="0"/>
                    </w:rPr>
                    <w:t>获嘉县</w:t>
                  </w:r>
                </w:p>
              </w:tc>
              <w:tc>
                <w:tcPr>
                  <w:tcW w:w="860" w:type="dxa"/>
                  <w:vMerge w:val="restart"/>
                  <w:vAlign w:val="center"/>
                </w:tcPr>
                <w:p w14:paraId="18CF8480">
                  <w:pPr>
                    <w:pStyle w:val="86"/>
                    <w:rPr>
                      <w:snapToGrid w:val="0"/>
                    </w:rPr>
                  </w:pPr>
                  <w:r>
                    <w:rPr>
                      <w:rFonts w:hint="eastAsia"/>
                      <w:snapToGrid w:val="0"/>
                    </w:rPr>
                    <w:t>获嘉县先进制造业开发区</w:t>
                  </w:r>
                </w:p>
              </w:tc>
              <w:tc>
                <w:tcPr>
                  <w:tcW w:w="850" w:type="dxa"/>
                  <w:vMerge w:val="restart"/>
                  <w:vAlign w:val="center"/>
                </w:tcPr>
                <w:p w14:paraId="6C1AD932">
                  <w:pPr>
                    <w:pStyle w:val="86"/>
                    <w:rPr>
                      <w:snapToGrid w:val="0"/>
                    </w:rPr>
                  </w:pPr>
                  <w:r>
                    <w:rPr>
                      <w:rFonts w:hint="eastAsia"/>
                      <w:snapToGrid w:val="0"/>
                      <w:kern w:val="2"/>
                    </w:rPr>
                    <w:t>重点管控单元1</w:t>
                  </w:r>
                </w:p>
              </w:tc>
              <w:tc>
                <w:tcPr>
                  <w:tcW w:w="590" w:type="dxa"/>
                  <w:vMerge w:val="restart"/>
                  <w:vAlign w:val="center"/>
                </w:tcPr>
                <w:p w14:paraId="5D0B43EE">
                  <w:pPr>
                    <w:pStyle w:val="86"/>
                    <w:rPr>
                      <w:snapToGrid w:val="0"/>
                    </w:rPr>
                  </w:pPr>
                  <w:r>
                    <w:rPr>
                      <w:snapToGrid w:val="0"/>
                    </w:rPr>
                    <w:t>空间布局约束</w:t>
                  </w:r>
                </w:p>
              </w:tc>
              <w:tc>
                <w:tcPr>
                  <w:tcW w:w="5705" w:type="dxa"/>
                  <w:vAlign w:val="center"/>
                </w:tcPr>
                <w:p w14:paraId="1439E98A">
                  <w:pPr>
                    <w:pStyle w:val="82"/>
                    <w:ind w:firstLine="420"/>
                    <w:rPr>
                      <w:szCs w:val="21"/>
                    </w:rPr>
                  </w:pPr>
                  <w:r>
                    <w:rPr>
                      <w:rFonts w:hint="eastAsia"/>
                    </w:rPr>
                    <w:t>1、园区规划主导产业为现代化工、装备制造、生物医药，鼓励与主导产业配套的项目入驻。</w:t>
                  </w:r>
                </w:p>
              </w:tc>
              <w:tc>
                <w:tcPr>
                  <w:tcW w:w="3089" w:type="dxa"/>
                  <w:vAlign w:val="center"/>
                </w:tcPr>
                <w:p w14:paraId="0CC11213">
                  <w:pPr>
                    <w:pStyle w:val="82"/>
                    <w:ind w:firstLine="420"/>
                    <w:rPr>
                      <w:snapToGrid w:val="0"/>
                      <w:color w:val="FF0000"/>
                      <w:szCs w:val="21"/>
                    </w:rPr>
                  </w:pPr>
                  <w:r>
                    <w:rPr>
                      <w:snapToGrid w:val="0"/>
                      <w:szCs w:val="21"/>
                    </w:rPr>
                    <w:t>本项目</w:t>
                  </w:r>
                  <w:r>
                    <w:rPr>
                      <w:rFonts w:hint="eastAsia"/>
                      <w:snapToGrid w:val="0"/>
                      <w:szCs w:val="21"/>
                    </w:rPr>
                    <w:t>为</w:t>
                  </w:r>
                  <w:r>
                    <w:rPr>
                      <w:rFonts w:hint="eastAsia"/>
                    </w:rPr>
                    <w:t>再生塑料颗粒加工项目，与园区主导产业不冲突</w:t>
                  </w:r>
                  <w:r>
                    <w:rPr>
                      <w:rFonts w:hint="eastAsia"/>
                      <w:szCs w:val="21"/>
                    </w:rPr>
                    <w:t>。</w:t>
                  </w:r>
                </w:p>
              </w:tc>
              <w:tc>
                <w:tcPr>
                  <w:tcW w:w="609" w:type="dxa"/>
                  <w:vAlign w:val="center"/>
                </w:tcPr>
                <w:p w14:paraId="65DF2C8E">
                  <w:pPr>
                    <w:pStyle w:val="86"/>
                    <w:rPr>
                      <w:snapToGrid w:val="0"/>
                    </w:rPr>
                  </w:pPr>
                  <w:r>
                    <w:rPr>
                      <w:rFonts w:hint="eastAsia"/>
                      <w:snapToGrid w:val="0"/>
                    </w:rPr>
                    <w:t>符合</w:t>
                  </w:r>
                </w:p>
              </w:tc>
            </w:tr>
            <w:tr w14:paraId="1016AB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1A43995C">
                  <w:pPr>
                    <w:pStyle w:val="86"/>
                    <w:rPr>
                      <w:snapToGrid w:val="0"/>
                    </w:rPr>
                  </w:pPr>
                </w:p>
              </w:tc>
              <w:tc>
                <w:tcPr>
                  <w:tcW w:w="860" w:type="dxa"/>
                  <w:vMerge w:val="continue"/>
                  <w:vAlign w:val="center"/>
                </w:tcPr>
                <w:p w14:paraId="2E5F13B3">
                  <w:pPr>
                    <w:pStyle w:val="86"/>
                    <w:rPr>
                      <w:snapToGrid w:val="0"/>
                    </w:rPr>
                  </w:pPr>
                </w:p>
              </w:tc>
              <w:tc>
                <w:tcPr>
                  <w:tcW w:w="850" w:type="dxa"/>
                  <w:vMerge w:val="continue"/>
                  <w:vAlign w:val="center"/>
                </w:tcPr>
                <w:p w14:paraId="10837320">
                  <w:pPr>
                    <w:pStyle w:val="86"/>
                    <w:rPr>
                      <w:snapToGrid w:val="0"/>
                      <w:kern w:val="2"/>
                    </w:rPr>
                  </w:pPr>
                </w:p>
              </w:tc>
              <w:tc>
                <w:tcPr>
                  <w:tcW w:w="590" w:type="dxa"/>
                  <w:vMerge w:val="continue"/>
                  <w:vAlign w:val="center"/>
                </w:tcPr>
                <w:p w14:paraId="1DE455D7">
                  <w:pPr>
                    <w:pStyle w:val="86"/>
                    <w:rPr>
                      <w:snapToGrid w:val="0"/>
                    </w:rPr>
                  </w:pPr>
                </w:p>
              </w:tc>
              <w:tc>
                <w:tcPr>
                  <w:tcW w:w="5705" w:type="dxa"/>
                  <w:vAlign w:val="center"/>
                </w:tcPr>
                <w:p w14:paraId="5BBDC9F5">
                  <w:pPr>
                    <w:pStyle w:val="82"/>
                    <w:ind w:firstLine="420"/>
                  </w:pPr>
                  <w:r>
                    <w:rPr>
                      <w:rFonts w:hint="eastAsia"/>
                    </w:rPr>
                    <w:t>2、入驻项目应符合园区规划或规划环评的要求。</w:t>
                  </w:r>
                </w:p>
              </w:tc>
              <w:tc>
                <w:tcPr>
                  <w:tcW w:w="3089" w:type="dxa"/>
                  <w:vAlign w:val="center"/>
                </w:tcPr>
                <w:p w14:paraId="1AF9A654">
                  <w:pPr>
                    <w:pStyle w:val="82"/>
                    <w:ind w:firstLine="420"/>
                    <w:rPr>
                      <w:snapToGrid w:val="0"/>
                      <w:szCs w:val="21"/>
                    </w:rPr>
                  </w:pPr>
                  <w:r>
                    <w:rPr>
                      <w:snapToGrid w:val="0"/>
                      <w:szCs w:val="21"/>
                    </w:rPr>
                    <w:t>本项目</w:t>
                  </w:r>
                  <w:r>
                    <w:rPr>
                      <w:rFonts w:hint="eastAsia"/>
                    </w:rPr>
                    <w:t>符合园区规划和规划环评的要求。</w:t>
                  </w:r>
                </w:p>
              </w:tc>
              <w:tc>
                <w:tcPr>
                  <w:tcW w:w="609" w:type="dxa"/>
                  <w:vAlign w:val="center"/>
                </w:tcPr>
                <w:p w14:paraId="766EB4B0">
                  <w:pPr>
                    <w:pStyle w:val="86"/>
                    <w:rPr>
                      <w:snapToGrid w:val="0"/>
                    </w:rPr>
                  </w:pPr>
                  <w:r>
                    <w:rPr>
                      <w:rFonts w:hint="eastAsia"/>
                      <w:snapToGrid w:val="0"/>
                    </w:rPr>
                    <w:t>符合</w:t>
                  </w:r>
                </w:p>
              </w:tc>
            </w:tr>
            <w:tr w14:paraId="641511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51F5AFFF">
                  <w:pPr>
                    <w:pStyle w:val="86"/>
                    <w:rPr>
                      <w:snapToGrid w:val="0"/>
                    </w:rPr>
                  </w:pPr>
                </w:p>
              </w:tc>
              <w:tc>
                <w:tcPr>
                  <w:tcW w:w="860" w:type="dxa"/>
                  <w:vMerge w:val="continue"/>
                  <w:vAlign w:val="center"/>
                </w:tcPr>
                <w:p w14:paraId="596DBBD4">
                  <w:pPr>
                    <w:pStyle w:val="86"/>
                    <w:rPr>
                      <w:snapToGrid w:val="0"/>
                    </w:rPr>
                  </w:pPr>
                </w:p>
              </w:tc>
              <w:tc>
                <w:tcPr>
                  <w:tcW w:w="850" w:type="dxa"/>
                  <w:vMerge w:val="continue"/>
                  <w:vAlign w:val="center"/>
                </w:tcPr>
                <w:p w14:paraId="61CB86F6">
                  <w:pPr>
                    <w:pStyle w:val="86"/>
                    <w:rPr>
                      <w:snapToGrid w:val="0"/>
                      <w:kern w:val="2"/>
                    </w:rPr>
                  </w:pPr>
                </w:p>
              </w:tc>
              <w:tc>
                <w:tcPr>
                  <w:tcW w:w="590" w:type="dxa"/>
                  <w:vMerge w:val="continue"/>
                  <w:vAlign w:val="center"/>
                </w:tcPr>
                <w:p w14:paraId="58056821">
                  <w:pPr>
                    <w:pStyle w:val="86"/>
                    <w:rPr>
                      <w:snapToGrid w:val="0"/>
                    </w:rPr>
                  </w:pPr>
                </w:p>
              </w:tc>
              <w:tc>
                <w:tcPr>
                  <w:tcW w:w="5705" w:type="dxa"/>
                  <w:vAlign w:val="center"/>
                </w:tcPr>
                <w:p w14:paraId="62788EE1">
                  <w:pPr>
                    <w:pStyle w:val="82"/>
                    <w:ind w:firstLine="420"/>
                  </w:pPr>
                  <w:r>
                    <w:rPr>
                      <w:rFonts w:hint="eastAsia"/>
                    </w:rPr>
                    <w:t>3、严格控制新、改、扩建“两高”项目建设。</w:t>
                  </w:r>
                </w:p>
              </w:tc>
              <w:tc>
                <w:tcPr>
                  <w:tcW w:w="3089" w:type="dxa"/>
                  <w:vAlign w:val="center"/>
                </w:tcPr>
                <w:p w14:paraId="460E4639">
                  <w:pPr>
                    <w:pStyle w:val="82"/>
                    <w:ind w:firstLine="420"/>
                    <w:rPr>
                      <w:snapToGrid w:val="0"/>
                      <w:szCs w:val="21"/>
                    </w:rPr>
                  </w:pPr>
                  <w:r>
                    <w:rPr>
                      <w:snapToGrid w:val="0"/>
                      <w:szCs w:val="21"/>
                    </w:rPr>
                    <w:t>本项目</w:t>
                  </w:r>
                  <w:r>
                    <w:rPr>
                      <w:rFonts w:hint="eastAsia"/>
                      <w:snapToGrid w:val="0"/>
                      <w:szCs w:val="21"/>
                    </w:rPr>
                    <w:t>为</w:t>
                  </w:r>
                  <w:r>
                    <w:rPr>
                      <w:rFonts w:hint="eastAsia"/>
                    </w:rPr>
                    <w:t>再生塑料颗粒加工项目，不属于“两高”项目。</w:t>
                  </w:r>
                </w:p>
              </w:tc>
              <w:tc>
                <w:tcPr>
                  <w:tcW w:w="609" w:type="dxa"/>
                  <w:vAlign w:val="center"/>
                </w:tcPr>
                <w:p w14:paraId="2CA8D58B">
                  <w:pPr>
                    <w:pStyle w:val="86"/>
                    <w:rPr>
                      <w:snapToGrid w:val="0"/>
                    </w:rPr>
                  </w:pPr>
                  <w:r>
                    <w:rPr>
                      <w:rFonts w:hint="eastAsia"/>
                      <w:snapToGrid w:val="0"/>
                    </w:rPr>
                    <w:t>符合</w:t>
                  </w:r>
                </w:p>
              </w:tc>
            </w:tr>
            <w:tr w14:paraId="014385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0B0DDDF4">
                  <w:pPr>
                    <w:pStyle w:val="86"/>
                    <w:rPr>
                      <w:snapToGrid w:val="0"/>
                    </w:rPr>
                  </w:pPr>
                </w:p>
              </w:tc>
              <w:tc>
                <w:tcPr>
                  <w:tcW w:w="860" w:type="dxa"/>
                  <w:vMerge w:val="continue"/>
                  <w:vAlign w:val="center"/>
                </w:tcPr>
                <w:p w14:paraId="2E088DDE">
                  <w:pPr>
                    <w:pStyle w:val="86"/>
                    <w:rPr>
                      <w:snapToGrid w:val="0"/>
                    </w:rPr>
                  </w:pPr>
                </w:p>
              </w:tc>
              <w:tc>
                <w:tcPr>
                  <w:tcW w:w="850" w:type="dxa"/>
                  <w:vMerge w:val="continue"/>
                  <w:vAlign w:val="center"/>
                </w:tcPr>
                <w:p w14:paraId="19374848">
                  <w:pPr>
                    <w:pStyle w:val="86"/>
                    <w:rPr>
                      <w:snapToGrid w:val="0"/>
                      <w:kern w:val="2"/>
                    </w:rPr>
                  </w:pPr>
                </w:p>
              </w:tc>
              <w:tc>
                <w:tcPr>
                  <w:tcW w:w="590" w:type="dxa"/>
                  <w:vMerge w:val="continue"/>
                  <w:vAlign w:val="center"/>
                </w:tcPr>
                <w:p w14:paraId="78DCA255">
                  <w:pPr>
                    <w:pStyle w:val="86"/>
                    <w:rPr>
                      <w:snapToGrid w:val="0"/>
                    </w:rPr>
                  </w:pPr>
                </w:p>
              </w:tc>
              <w:tc>
                <w:tcPr>
                  <w:tcW w:w="5705" w:type="dxa"/>
                  <w:vAlign w:val="center"/>
                </w:tcPr>
                <w:p w14:paraId="434C8F37">
                  <w:pPr>
                    <w:pStyle w:val="82"/>
                    <w:ind w:firstLine="420"/>
                  </w:pPr>
                  <w:r>
                    <w:rPr>
                      <w:rFonts w:hint="eastAsia"/>
                    </w:rPr>
                    <w:t>4、严控新增重点防控的重金属污染物排放量，新、改、扩建重点行业建设项目实施重点重金属减量替代，应符合《新乡市“十四五”重金属污染防控工作方案》相关要求。</w:t>
                  </w:r>
                </w:p>
              </w:tc>
              <w:tc>
                <w:tcPr>
                  <w:tcW w:w="3089" w:type="dxa"/>
                  <w:vAlign w:val="center"/>
                </w:tcPr>
                <w:p w14:paraId="6B1F0007">
                  <w:pPr>
                    <w:pStyle w:val="82"/>
                    <w:ind w:firstLine="420"/>
                    <w:rPr>
                      <w:snapToGrid w:val="0"/>
                      <w:szCs w:val="21"/>
                    </w:rPr>
                  </w:pPr>
                  <w:r>
                    <w:rPr>
                      <w:rFonts w:hint="eastAsia"/>
                      <w:snapToGrid w:val="0"/>
                      <w:szCs w:val="21"/>
                    </w:rPr>
                    <w:t>本项目不排放重金属污染物。</w:t>
                  </w:r>
                </w:p>
              </w:tc>
              <w:tc>
                <w:tcPr>
                  <w:tcW w:w="609" w:type="dxa"/>
                  <w:vAlign w:val="center"/>
                </w:tcPr>
                <w:p w14:paraId="1F50FE96">
                  <w:pPr>
                    <w:pStyle w:val="86"/>
                    <w:rPr>
                      <w:snapToGrid w:val="0"/>
                    </w:rPr>
                  </w:pPr>
                  <w:r>
                    <w:rPr>
                      <w:rFonts w:hint="eastAsia"/>
                      <w:snapToGrid w:val="0"/>
                    </w:rPr>
                    <w:t>符合</w:t>
                  </w:r>
                </w:p>
              </w:tc>
            </w:tr>
            <w:tr w14:paraId="1D2311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166B243F">
                  <w:pPr>
                    <w:pStyle w:val="86"/>
                    <w:rPr>
                      <w:snapToGrid w:val="0"/>
                    </w:rPr>
                  </w:pPr>
                </w:p>
              </w:tc>
              <w:tc>
                <w:tcPr>
                  <w:tcW w:w="860" w:type="dxa"/>
                  <w:vMerge w:val="continue"/>
                  <w:vAlign w:val="center"/>
                </w:tcPr>
                <w:p w14:paraId="275A50CB">
                  <w:pPr>
                    <w:pStyle w:val="86"/>
                    <w:rPr>
                      <w:snapToGrid w:val="0"/>
                    </w:rPr>
                  </w:pPr>
                </w:p>
              </w:tc>
              <w:tc>
                <w:tcPr>
                  <w:tcW w:w="850" w:type="dxa"/>
                  <w:vMerge w:val="continue"/>
                  <w:vAlign w:val="center"/>
                </w:tcPr>
                <w:p w14:paraId="4EDA3ACC">
                  <w:pPr>
                    <w:pStyle w:val="86"/>
                    <w:rPr>
                      <w:snapToGrid w:val="0"/>
                      <w:kern w:val="2"/>
                    </w:rPr>
                  </w:pPr>
                </w:p>
              </w:tc>
              <w:tc>
                <w:tcPr>
                  <w:tcW w:w="590" w:type="dxa"/>
                  <w:vMerge w:val="continue"/>
                  <w:vAlign w:val="center"/>
                </w:tcPr>
                <w:p w14:paraId="250E8B66">
                  <w:pPr>
                    <w:pStyle w:val="86"/>
                    <w:rPr>
                      <w:snapToGrid w:val="0"/>
                    </w:rPr>
                  </w:pPr>
                </w:p>
              </w:tc>
              <w:tc>
                <w:tcPr>
                  <w:tcW w:w="5705" w:type="dxa"/>
                  <w:vAlign w:val="center"/>
                </w:tcPr>
                <w:p w14:paraId="3A069DC6">
                  <w:pPr>
                    <w:pStyle w:val="82"/>
                    <w:ind w:firstLine="420"/>
                  </w:pPr>
                  <w:r>
                    <w:rPr>
                      <w:rFonts w:hint="eastAsia"/>
                    </w:rPr>
                    <w:t>5、禁止入驻《产业结构调整指导目录》限制类、淘汰类及《河南省承接化工产业转移“禁限控”目录》中的项目。</w:t>
                  </w:r>
                </w:p>
              </w:tc>
              <w:tc>
                <w:tcPr>
                  <w:tcW w:w="3089" w:type="dxa"/>
                  <w:vAlign w:val="center"/>
                </w:tcPr>
                <w:p w14:paraId="2ADF86FA">
                  <w:pPr>
                    <w:pStyle w:val="82"/>
                    <w:ind w:firstLine="420"/>
                    <w:rPr>
                      <w:snapToGrid w:val="0"/>
                      <w:szCs w:val="21"/>
                    </w:rPr>
                  </w:pPr>
                  <w:r>
                    <w:rPr>
                      <w:rFonts w:hint="eastAsia"/>
                      <w:snapToGrid w:val="0"/>
                      <w:szCs w:val="21"/>
                    </w:rPr>
                    <w:t>本项目属于《产业结构调整指导目录（2024年本）》中鼓励类项目，不属于限制、淘汰类建设项目；</w:t>
                  </w:r>
                </w:p>
              </w:tc>
              <w:tc>
                <w:tcPr>
                  <w:tcW w:w="609" w:type="dxa"/>
                  <w:vAlign w:val="center"/>
                </w:tcPr>
                <w:p w14:paraId="5C49FAB0">
                  <w:pPr>
                    <w:pStyle w:val="86"/>
                    <w:rPr>
                      <w:snapToGrid w:val="0"/>
                    </w:rPr>
                  </w:pPr>
                  <w:r>
                    <w:rPr>
                      <w:snapToGrid w:val="0"/>
                    </w:rPr>
                    <w:t>符合</w:t>
                  </w:r>
                </w:p>
              </w:tc>
            </w:tr>
            <w:tr w14:paraId="490328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6FF94F8D">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4A6DD4F3">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728F4A83">
                  <w:pPr>
                    <w:widowControl/>
                    <w:jc w:val="left"/>
                    <w:rPr>
                      <w:snapToGrid w:val="0"/>
                      <w:color w:val="000000" w:themeColor="text1"/>
                      <w:szCs w:val="21"/>
                      <w14:textFill>
                        <w14:solidFill>
                          <w14:schemeClr w14:val="tx1"/>
                        </w14:solidFill>
                      </w14:textFill>
                    </w:rPr>
                  </w:pPr>
                </w:p>
              </w:tc>
              <w:tc>
                <w:tcPr>
                  <w:tcW w:w="590" w:type="dxa"/>
                  <w:vMerge w:val="restart"/>
                  <w:vAlign w:val="center"/>
                </w:tcPr>
                <w:p w14:paraId="7E2A746E">
                  <w:pPr>
                    <w:pStyle w:val="86"/>
                  </w:pPr>
                  <w:r>
                    <w:t>污染物排放管控</w:t>
                  </w:r>
                </w:p>
              </w:tc>
              <w:tc>
                <w:tcPr>
                  <w:tcW w:w="5705" w:type="dxa"/>
                  <w:vAlign w:val="center"/>
                </w:tcPr>
                <w:p w14:paraId="3DC18F14">
                  <w:pPr>
                    <w:pStyle w:val="82"/>
                    <w:ind w:firstLine="420"/>
                  </w:pPr>
                  <w:r>
                    <w:rPr>
                      <w:rFonts w:hint="eastAsia"/>
                    </w:rPr>
                    <w:t>1、二氧化硫、氮氧化物、颗粒物、VOCs全面执行大气污染物特别排放限值。</w:t>
                  </w:r>
                </w:p>
              </w:tc>
              <w:tc>
                <w:tcPr>
                  <w:tcW w:w="3089" w:type="dxa"/>
                  <w:vAlign w:val="center"/>
                </w:tcPr>
                <w:p w14:paraId="459ADA7E">
                  <w:pPr>
                    <w:pStyle w:val="82"/>
                    <w:ind w:firstLine="420"/>
                    <w:rPr>
                      <w:color w:val="FF0000"/>
                    </w:rPr>
                  </w:pPr>
                  <w:r>
                    <w:rPr>
                      <w:rFonts w:hint="eastAsia"/>
                      <w:snapToGrid w:val="0"/>
                    </w:rPr>
                    <w:t>本项目不涉及</w:t>
                  </w:r>
                  <w:r>
                    <w:rPr>
                      <w:rFonts w:hint="eastAsia"/>
                    </w:rPr>
                    <w:t>二氧化硫、氮氧化物、颗粒物，VOCs全面执行大气污染物特别排放限值。</w:t>
                  </w:r>
                </w:p>
              </w:tc>
              <w:tc>
                <w:tcPr>
                  <w:tcW w:w="609" w:type="dxa"/>
                  <w:vAlign w:val="center"/>
                </w:tcPr>
                <w:p w14:paraId="60BCE0A6">
                  <w:pPr>
                    <w:pStyle w:val="86"/>
                    <w:rPr>
                      <w:snapToGrid w:val="0"/>
                    </w:rPr>
                  </w:pPr>
                  <w:r>
                    <w:rPr>
                      <w:snapToGrid w:val="0"/>
                    </w:rPr>
                    <w:t>符合</w:t>
                  </w:r>
                </w:p>
              </w:tc>
            </w:tr>
            <w:tr w14:paraId="57F6BF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7DAD74B5">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02634E86">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36C82D71">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38841BD3">
                  <w:pPr>
                    <w:pStyle w:val="86"/>
                  </w:pPr>
                </w:p>
              </w:tc>
              <w:tc>
                <w:tcPr>
                  <w:tcW w:w="5705" w:type="dxa"/>
                  <w:vAlign w:val="center"/>
                </w:tcPr>
                <w:p w14:paraId="3F2C3AFB">
                  <w:pPr>
                    <w:pStyle w:val="82"/>
                    <w:ind w:firstLine="420"/>
                  </w:pPr>
                  <w:r>
                    <w:rPr>
                      <w:rFonts w:hint="eastAsia"/>
                    </w:rPr>
                    <w:t>2、污水处理厂出水执行《城镇污水处理厂污染物排放标准》表1一级A标准及属地管理要求，确保区域水环境质量达标。</w:t>
                  </w:r>
                </w:p>
              </w:tc>
              <w:tc>
                <w:tcPr>
                  <w:tcW w:w="3089" w:type="dxa"/>
                  <w:vAlign w:val="center"/>
                </w:tcPr>
                <w:p w14:paraId="1EDF740C">
                  <w:pPr>
                    <w:pStyle w:val="82"/>
                    <w:ind w:firstLine="420"/>
                    <w:rPr>
                      <w:snapToGrid w:val="0"/>
                    </w:rPr>
                  </w:pPr>
                  <w:r>
                    <w:rPr>
                      <w:rFonts w:hint="eastAsia" w:ascii="宋体" w:hAnsi="宋体"/>
                    </w:rPr>
                    <w:t>本项目清洗废水经一体化污水处理站处理，生活污水经化粪池处理，最后一起经管网排入获嘉县香山家园污水处理厂进一步处理，</w:t>
                  </w:r>
                  <w:r>
                    <w:rPr>
                      <w:rFonts w:hint="eastAsia"/>
                      <w:bCs w:val="0"/>
                    </w:rPr>
                    <w:t>获嘉县香山家园污水处理厂出水浓度COD、NH</w:t>
                  </w:r>
                  <w:r>
                    <w:rPr>
                      <w:rFonts w:hint="eastAsia"/>
                      <w:bCs w:val="0"/>
                      <w:vertAlign w:val="subscript"/>
                    </w:rPr>
                    <w:t>3</w:t>
                  </w:r>
                  <w:r>
                    <w:rPr>
                      <w:rFonts w:hint="eastAsia"/>
                      <w:bCs w:val="0"/>
                    </w:rPr>
                    <w:t>-N、TP执行《地表水环境质量标准》(GB3838-2002)V类水体标准，SS、TN执行《城镇污水处理厂污染物排放标准》（GB18918-2002）表1一级A的标准要求</w:t>
                  </w:r>
                  <w:r>
                    <w:t>。</w:t>
                  </w:r>
                </w:p>
              </w:tc>
              <w:tc>
                <w:tcPr>
                  <w:tcW w:w="609" w:type="dxa"/>
                  <w:vAlign w:val="center"/>
                </w:tcPr>
                <w:p w14:paraId="7D73A10F">
                  <w:pPr>
                    <w:pStyle w:val="86"/>
                    <w:rPr>
                      <w:snapToGrid w:val="0"/>
                    </w:rPr>
                  </w:pPr>
                  <w:r>
                    <w:rPr>
                      <w:snapToGrid w:val="0"/>
                    </w:rPr>
                    <w:t>符合</w:t>
                  </w:r>
                </w:p>
              </w:tc>
            </w:tr>
            <w:tr w14:paraId="62049B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651091EE">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47BB4A1A">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77169DD6">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39B20524">
                  <w:pPr>
                    <w:pStyle w:val="86"/>
                  </w:pPr>
                </w:p>
              </w:tc>
              <w:tc>
                <w:tcPr>
                  <w:tcW w:w="5705" w:type="dxa"/>
                  <w:vAlign w:val="center"/>
                </w:tcPr>
                <w:p w14:paraId="7D7C0D37">
                  <w:pPr>
                    <w:pStyle w:val="82"/>
                    <w:ind w:firstLine="420"/>
                  </w:pPr>
                  <w:r>
                    <w:rPr>
                      <w:rFonts w:hint="eastAsia"/>
                    </w:rPr>
                    <w:t>3、定期对地下水质进行监测，及时采取有效防治措施，避免对地下水造成污染。</w:t>
                  </w:r>
                </w:p>
              </w:tc>
              <w:tc>
                <w:tcPr>
                  <w:tcW w:w="3089" w:type="dxa"/>
                  <w:vAlign w:val="center"/>
                </w:tcPr>
                <w:p w14:paraId="1B1400B4">
                  <w:pPr>
                    <w:pStyle w:val="82"/>
                    <w:ind w:firstLine="420"/>
                    <w:rPr>
                      <w:snapToGrid w:val="0"/>
                    </w:rPr>
                  </w:pPr>
                  <w:r>
                    <w:rPr>
                      <w:rFonts w:hint="eastAsia"/>
                    </w:rPr>
                    <w:t>本项目设计一体化污水处理站位于地上，废水均采用地上管道输送，定期对管道进行维护，待管道达到其使用年限前及时更换，且租赁车间内地面均已做好硬化，保证废水不与土壤接触，不会下渗影响地下水；本项目危险废物暂存于危废暂存间内，采用专用容器收集，并置于托盘上，确保不渗漏，危废暂存间根据《危险废物贮存污染控制标准》（GB18597-2023）的要求设置防渗措施，危险废物不与土壤接触，不会下渗影响地下水，因此本项目不存在地下水污染途径。</w:t>
                  </w:r>
                </w:p>
              </w:tc>
              <w:tc>
                <w:tcPr>
                  <w:tcW w:w="609" w:type="dxa"/>
                  <w:vAlign w:val="center"/>
                </w:tcPr>
                <w:p w14:paraId="696BA778">
                  <w:pPr>
                    <w:pStyle w:val="86"/>
                    <w:rPr>
                      <w:snapToGrid w:val="0"/>
                    </w:rPr>
                  </w:pPr>
                  <w:r>
                    <w:rPr>
                      <w:snapToGrid w:val="0"/>
                    </w:rPr>
                    <w:t>符合</w:t>
                  </w:r>
                </w:p>
              </w:tc>
            </w:tr>
            <w:tr w14:paraId="286760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65D3650C">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79D87D55">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014D2F60">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091F3558">
                  <w:pPr>
                    <w:pStyle w:val="86"/>
                  </w:pPr>
                </w:p>
              </w:tc>
              <w:tc>
                <w:tcPr>
                  <w:tcW w:w="5705" w:type="dxa"/>
                  <w:vAlign w:val="center"/>
                </w:tcPr>
                <w:p w14:paraId="0D4E1EAE">
                  <w:pPr>
                    <w:pStyle w:val="82"/>
                    <w:ind w:firstLine="420"/>
                  </w:pPr>
                  <w:r>
                    <w:rPr>
                      <w:rFonts w:hint="eastAsia"/>
                    </w:rPr>
                    <w:t>4、新建耗煤项目还应严格按规定采取煤炭消费减量替代措施，不得使用高污染燃料作为煤炭减量替代措施。</w:t>
                  </w:r>
                </w:p>
              </w:tc>
              <w:tc>
                <w:tcPr>
                  <w:tcW w:w="3089" w:type="dxa"/>
                  <w:vAlign w:val="center"/>
                </w:tcPr>
                <w:p w14:paraId="08FBB08D">
                  <w:pPr>
                    <w:pStyle w:val="82"/>
                    <w:ind w:firstLine="420"/>
                    <w:rPr>
                      <w:snapToGrid w:val="0"/>
                    </w:rPr>
                  </w:pPr>
                  <w:r>
                    <w:rPr>
                      <w:rFonts w:hint="eastAsia"/>
                    </w:rPr>
                    <w:t>本项目不属于耗煤项目。</w:t>
                  </w:r>
                </w:p>
              </w:tc>
              <w:tc>
                <w:tcPr>
                  <w:tcW w:w="609" w:type="dxa"/>
                  <w:vAlign w:val="center"/>
                </w:tcPr>
                <w:p w14:paraId="3AB0B6F3">
                  <w:pPr>
                    <w:pStyle w:val="86"/>
                    <w:rPr>
                      <w:snapToGrid w:val="0"/>
                    </w:rPr>
                  </w:pPr>
                  <w:r>
                    <w:rPr>
                      <w:snapToGrid w:val="0"/>
                    </w:rPr>
                    <w:t>符合</w:t>
                  </w:r>
                </w:p>
              </w:tc>
            </w:tr>
            <w:tr w14:paraId="34B8C5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11A46D4E">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6C020786">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24E796BE">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638EC2A0">
                  <w:pPr>
                    <w:pStyle w:val="86"/>
                  </w:pPr>
                </w:p>
              </w:tc>
              <w:tc>
                <w:tcPr>
                  <w:tcW w:w="5705" w:type="dxa"/>
                  <w:vAlign w:val="center"/>
                </w:tcPr>
                <w:p w14:paraId="76CD5887">
                  <w:pPr>
                    <w:pStyle w:val="82"/>
                    <w:ind w:firstLine="420"/>
                  </w:pPr>
                  <w:r>
                    <w:rPr>
                      <w:rFonts w:hint="eastAsia"/>
                    </w:rPr>
                    <w:t>5、已出台超低排放要求的行业建设项目应满足超低排放要求。</w:t>
                  </w:r>
                </w:p>
              </w:tc>
              <w:tc>
                <w:tcPr>
                  <w:tcW w:w="3089" w:type="dxa"/>
                  <w:vAlign w:val="center"/>
                </w:tcPr>
                <w:p w14:paraId="3ECA1C2B">
                  <w:pPr>
                    <w:pStyle w:val="82"/>
                    <w:ind w:firstLine="420"/>
                    <w:rPr>
                      <w:snapToGrid w:val="0"/>
                    </w:rPr>
                  </w:pPr>
                  <w:r>
                    <w:rPr>
                      <w:rFonts w:hint="eastAsia"/>
                      <w:snapToGrid w:val="0"/>
                    </w:rPr>
                    <w:t>本项目不涉及</w:t>
                  </w:r>
                </w:p>
              </w:tc>
              <w:tc>
                <w:tcPr>
                  <w:tcW w:w="609" w:type="dxa"/>
                  <w:vAlign w:val="center"/>
                </w:tcPr>
                <w:p w14:paraId="6AA77177">
                  <w:pPr>
                    <w:pStyle w:val="86"/>
                    <w:rPr>
                      <w:b/>
                      <w:bCs w:val="0"/>
                      <w:snapToGrid w:val="0"/>
                    </w:rPr>
                  </w:pPr>
                  <w:r>
                    <w:rPr>
                      <w:snapToGrid w:val="0"/>
                    </w:rPr>
                    <w:t>符合</w:t>
                  </w:r>
                </w:p>
              </w:tc>
            </w:tr>
            <w:tr w14:paraId="7CB3D3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2F8C5F45">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372FB0AF">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3B9A0284">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1E5F4CBC">
                  <w:pPr>
                    <w:pStyle w:val="86"/>
                  </w:pPr>
                </w:p>
              </w:tc>
              <w:tc>
                <w:tcPr>
                  <w:tcW w:w="5705" w:type="dxa"/>
                  <w:vAlign w:val="center"/>
                </w:tcPr>
                <w:p w14:paraId="490F866A">
                  <w:pPr>
                    <w:pStyle w:val="82"/>
                    <w:ind w:firstLine="420"/>
                  </w:pPr>
                  <w:r>
                    <w:rPr>
                      <w:rFonts w:hint="eastAsia"/>
                    </w:rPr>
                    <w:t>6、严格落实《制药建设项目环境影响评价文件审批原则》、《河南省电镀建设项目环境影响评价文件审查审批原则》相关要求。</w:t>
                  </w:r>
                </w:p>
              </w:tc>
              <w:tc>
                <w:tcPr>
                  <w:tcW w:w="3089" w:type="dxa"/>
                  <w:vAlign w:val="center"/>
                </w:tcPr>
                <w:p w14:paraId="73A45A3C">
                  <w:pPr>
                    <w:pStyle w:val="82"/>
                    <w:ind w:firstLine="420"/>
                    <w:rPr>
                      <w:snapToGrid w:val="0"/>
                    </w:rPr>
                  </w:pPr>
                  <w:r>
                    <w:rPr>
                      <w:snapToGrid w:val="0"/>
                      <w:szCs w:val="21"/>
                    </w:rPr>
                    <w:t>本项目</w:t>
                  </w:r>
                  <w:r>
                    <w:rPr>
                      <w:rFonts w:hint="eastAsia"/>
                      <w:snapToGrid w:val="0"/>
                      <w:szCs w:val="21"/>
                    </w:rPr>
                    <w:t>为</w:t>
                  </w:r>
                  <w:r>
                    <w:rPr>
                      <w:rFonts w:hint="eastAsia"/>
                    </w:rPr>
                    <w:t>再生塑料颗粒加工项目，不属于制药、电镀行业。</w:t>
                  </w:r>
                </w:p>
              </w:tc>
              <w:tc>
                <w:tcPr>
                  <w:tcW w:w="609" w:type="dxa"/>
                  <w:vAlign w:val="center"/>
                </w:tcPr>
                <w:p w14:paraId="0326A5D0">
                  <w:pPr>
                    <w:pStyle w:val="86"/>
                    <w:rPr>
                      <w:snapToGrid w:val="0"/>
                    </w:rPr>
                  </w:pPr>
                  <w:r>
                    <w:rPr>
                      <w:snapToGrid w:val="0"/>
                    </w:rPr>
                    <w:t>符合</w:t>
                  </w:r>
                </w:p>
              </w:tc>
            </w:tr>
            <w:tr w14:paraId="6111B9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19BF5B9F">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5D2A90FE">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45093CE3">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0E71976D">
                  <w:pPr>
                    <w:pStyle w:val="86"/>
                  </w:pPr>
                </w:p>
              </w:tc>
              <w:tc>
                <w:tcPr>
                  <w:tcW w:w="5705" w:type="dxa"/>
                  <w:vAlign w:val="center"/>
                </w:tcPr>
                <w:p w14:paraId="36CAE499">
                  <w:pPr>
                    <w:pStyle w:val="82"/>
                    <w:ind w:firstLine="420"/>
                  </w:pPr>
                  <w:r>
                    <w:rPr>
                      <w:rFonts w:hint="eastAsia"/>
                    </w:rPr>
                    <w:t>7、严格控制生产和使用高VOCs含量溶剂型涂料、油墨、胶黏剂、清洗剂等建设项目。</w:t>
                  </w:r>
                </w:p>
              </w:tc>
              <w:tc>
                <w:tcPr>
                  <w:tcW w:w="3089" w:type="dxa"/>
                  <w:vAlign w:val="center"/>
                </w:tcPr>
                <w:p w14:paraId="20B09DAC">
                  <w:pPr>
                    <w:pStyle w:val="82"/>
                    <w:ind w:firstLine="420"/>
                    <w:rPr>
                      <w:snapToGrid w:val="0"/>
                    </w:rPr>
                  </w:pPr>
                  <w:r>
                    <w:rPr>
                      <w:rFonts w:hint="eastAsia"/>
                      <w:snapToGrid w:val="0"/>
                    </w:rPr>
                    <w:t>本项目不生产和使用高VOCs含量溶剂型涂料、油墨、胶黏剂、清洗剂等。</w:t>
                  </w:r>
                </w:p>
              </w:tc>
              <w:tc>
                <w:tcPr>
                  <w:tcW w:w="609" w:type="dxa"/>
                  <w:vAlign w:val="center"/>
                </w:tcPr>
                <w:p w14:paraId="329D8C07">
                  <w:pPr>
                    <w:pStyle w:val="86"/>
                    <w:rPr>
                      <w:snapToGrid w:val="0"/>
                    </w:rPr>
                  </w:pPr>
                  <w:r>
                    <w:rPr>
                      <w:snapToGrid w:val="0"/>
                    </w:rPr>
                    <w:t>符合</w:t>
                  </w:r>
                </w:p>
              </w:tc>
            </w:tr>
            <w:tr w14:paraId="6A2751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32B016A6">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2861B72C">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47BCD6CB">
                  <w:pPr>
                    <w:widowControl/>
                    <w:jc w:val="left"/>
                    <w:rPr>
                      <w:snapToGrid w:val="0"/>
                      <w:color w:val="000000" w:themeColor="text1"/>
                      <w:szCs w:val="21"/>
                      <w14:textFill>
                        <w14:solidFill>
                          <w14:schemeClr w14:val="tx1"/>
                        </w14:solidFill>
                      </w14:textFill>
                    </w:rPr>
                  </w:pPr>
                </w:p>
              </w:tc>
              <w:tc>
                <w:tcPr>
                  <w:tcW w:w="590" w:type="dxa"/>
                  <w:vMerge w:val="restart"/>
                  <w:vAlign w:val="center"/>
                </w:tcPr>
                <w:p w14:paraId="32891259">
                  <w:pPr>
                    <w:pStyle w:val="86"/>
                  </w:pPr>
                  <w:r>
                    <w:t>环境风险防控</w:t>
                  </w:r>
                </w:p>
              </w:tc>
              <w:tc>
                <w:tcPr>
                  <w:tcW w:w="5705" w:type="dxa"/>
                  <w:vAlign w:val="center"/>
                </w:tcPr>
                <w:p w14:paraId="4F91A9B0">
                  <w:pPr>
                    <w:pStyle w:val="82"/>
                    <w:ind w:firstLine="420"/>
                  </w:pPr>
                  <w:r>
                    <w:rPr>
                      <w:rFonts w:hint="eastAsia"/>
                    </w:rPr>
                    <w:t>1、规范园区建设，对涉重行业企业加强管理，建立土壤和地下水污染隐患排查治理制度、风险防控体系和长效监管机制。</w:t>
                  </w:r>
                </w:p>
              </w:tc>
              <w:tc>
                <w:tcPr>
                  <w:tcW w:w="3089" w:type="dxa"/>
                  <w:vAlign w:val="center"/>
                </w:tcPr>
                <w:p w14:paraId="2227981C">
                  <w:pPr>
                    <w:pStyle w:val="82"/>
                    <w:ind w:firstLine="420"/>
                  </w:pPr>
                  <w:r>
                    <w:t>本项目不</w:t>
                  </w:r>
                  <w:r>
                    <w:rPr>
                      <w:rFonts w:hint="eastAsia"/>
                    </w:rPr>
                    <w:t>属于涉重行业</w:t>
                  </w:r>
                </w:p>
              </w:tc>
              <w:tc>
                <w:tcPr>
                  <w:tcW w:w="609" w:type="dxa"/>
                  <w:vAlign w:val="center"/>
                </w:tcPr>
                <w:p w14:paraId="64033579">
                  <w:pPr>
                    <w:pStyle w:val="86"/>
                    <w:rPr>
                      <w:snapToGrid w:val="0"/>
                    </w:rPr>
                  </w:pPr>
                  <w:r>
                    <w:rPr>
                      <w:rFonts w:hint="eastAsia"/>
                      <w:snapToGrid w:val="0"/>
                    </w:rPr>
                    <w:t>/</w:t>
                  </w:r>
                </w:p>
              </w:tc>
            </w:tr>
            <w:tr w14:paraId="0162E6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3180D6D7">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36BEC7DA">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5005D68D">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0B04CFB2">
                  <w:pPr>
                    <w:pStyle w:val="86"/>
                  </w:pPr>
                </w:p>
              </w:tc>
              <w:tc>
                <w:tcPr>
                  <w:tcW w:w="5705" w:type="dxa"/>
                  <w:vAlign w:val="center"/>
                </w:tcPr>
                <w:p w14:paraId="52A0856D">
                  <w:pPr>
                    <w:pStyle w:val="82"/>
                    <w:ind w:firstLine="420"/>
                  </w:pPr>
                  <w:r>
                    <w:rPr>
                      <w:rFonts w:hint="eastAsia"/>
                    </w:rPr>
                    <w:t>2、有色金属冶炼、铅酸蓄电池、石油加工、化工、电镀、制革和危险化学品生产、储存、使用等企业在拆除生产设施设备、污染治理设施时，要事先制定企业拆除活动污染防治方案和拆除活动环境应急预案。</w:t>
                  </w:r>
                </w:p>
              </w:tc>
              <w:tc>
                <w:tcPr>
                  <w:tcW w:w="3089" w:type="dxa"/>
                  <w:vAlign w:val="center"/>
                </w:tcPr>
                <w:p w14:paraId="732B956A">
                  <w:pPr>
                    <w:pStyle w:val="82"/>
                    <w:ind w:firstLine="420"/>
                  </w:pPr>
                  <w:r>
                    <w:t>本项目不</w:t>
                  </w:r>
                  <w:r>
                    <w:rPr>
                      <w:rFonts w:hint="eastAsia"/>
                    </w:rPr>
                    <w:t>属于有色金属冶炼、铅酸蓄电池、石油加工、化工、电镀、制革和危险化学品生产、储存、使用等企业。</w:t>
                  </w:r>
                </w:p>
              </w:tc>
              <w:tc>
                <w:tcPr>
                  <w:tcW w:w="609" w:type="dxa"/>
                  <w:vAlign w:val="center"/>
                </w:tcPr>
                <w:p w14:paraId="6A0FF625">
                  <w:pPr>
                    <w:pStyle w:val="86"/>
                    <w:rPr>
                      <w:snapToGrid w:val="0"/>
                    </w:rPr>
                  </w:pPr>
                  <w:r>
                    <w:rPr>
                      <w:rFonts w:hint="eastAsia"/>
                      <w:snapToGrid w:val="0"/>
                    </w:rPr>
                    <w:t>/</w:t>
                  </w:r>
                </w:p>
              </w:tc>
            </w:tr>
            <w:tr w14:paraId="2E23C2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7B2FB488">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702DCF0C">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286CF320">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76B7DE86">
                  <w:pPr>
                    <w:pStyle w:val="86"/>
                  </w:pPr>
                </w:p>
              </w:tc>
              <w:tc>
                <w:tcPr>
                  <w:tcW w:w="5705" w:type="dxa"/>
                  <w:vAlign w:val="center"/>
                </w:tcPr>
                <w:p w14:paraId="06E0BAF6">
                  <w:pPr>
                    <w:pStyle w:val="82"/>
                    <w:ind w:firstLine="420"/>
                  </w:pPr>
                  <w:r>
                    <w:rPr>
                      <w:rFonts w:hint="eastAsia"/>
                    </w:rPr>
                    <w:t>3、规范专业园区建设，对涉重行业企业加强管理，建立土壤和地下水污染隐患排查治理制度、风险防控体系和长效监管机制。</w:t>
                  </w:r>
                </w:p>
              </w:tc>
              <w:tc>
                <w:tcPr>
                  <w:tcW w:w="3089" w:type="dxa"/>
                  <w:vAlign w:val="center"/>
                </w:tcPr>
                <w:p w14:paraId="767121A4">
                  <w:pPr>
                    <w:pStyle w:val="82"/>
                    <w:ind w:firstLine="420"/>
                    <w:rPr>
                      <w:snapToGrid w:val="0"/>
                    </w:rPr>
                  </w:pPr>
                  <w:r>
                    <w:t>本项目不</w:t>
                  </w:r>
                  <w:r>
                    <w:rPr>
                      <w:rFonts w:hint="eastAsia"/>
                    </w:rPr>
                    <w:t>属于涉重行业</w:t>
                  </w:r>
                </w:p>
              </w:tc>
              <w:tc>
                <w:tcPr>
                  <w:tcW w:w="609" w:type="dxa"/>
                  <w:vAlign w:val="center"/>
                </w:tcPr>
                <w:p w14:paraId="6D248C35">
                  <w:pPr>
                    <w:pStyle w:val="86"/>
                    <w:rPr>
                      <w:snapToGrid w:val="0"/>
                    </w:rPr>
                  </w:pPr>
                  <w:r>
                    <w:rPr>
                      <w:rFonts w:hint="eastAsia"/>
                      <w:snapToGrid w:val="0"/>
                    </w:rPr>
                    <w:t>/</w:t>
                  </w:r>
                </w:p>
              </w:tc>
            </w:tr>
            <w:tr w14:paraId="75F185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2CE46664">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5138E6CA">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0EFAB2C5">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42A8EBCF">
                  <w:pPr>
                    <w:pStyle w:val="86"/>
                  </w:pPr>
                </w:p>
              </w:tc>
              <w:tc>
                <w:tcPr>
                  <w:tcW w:w="5705" w:type="dxa"/>
                  <w:vAlign w:val="center"/>
                </w:tcPr>
                <w:p w14:paraId="656B3F89">
                  <w:pPr>
                    <w:pStyle w:val="82"/>
                    <w:ind w:firstLine="420"/>
                  </w:pPr>
                  <w:r>
                    <w:rPr>
                      <w:rFonts w:hint="eastAsia"/>
                    </w:rPr>
                    <w:t>4、化工园区应根据自身规模和产业结构需要，建立完善的安全生产和生态环境的监测监控和风险预警体系，相关监测监控数据应接入地方监测预警系统。</w:t>
                  </w:r>
                </w:p>
              </w:tc>
              <w:tc>
                <w:tcPr>
                  <w:tcW w:w="3089" w:type="dxa"/>
                  <w:vAlign w:val="center"/>
                </w:tcPr>
                <w:p w14:paraId="5E7154B7">
                  <w:pPr>
                    <w:pStyle w:val="82"/>
                    <w:ind w:firstLine="420"/>
                    <w:rPr>
                      <w:snapToGrid w:val="0"/>
                    </w:rPr>
                  </w:pPr>
                  <w:r>
                    <w:t>本项目不涉及</w:t>
                  </w:r>
                </w:p>
              </w:tc>
              <w:tc>
                <w:tcPr>
                  <w:tcW w:w="609" w:type="dxa"/>
                  <w:vAlign w:val="center"/>
                </w:tcPr>
                <w:p w14:paraId="3CCBEA8A">
                  <w:pPr>
                    <w:pStyle w:val="86"/>
                    <w:rPr>
                      <w:snapToGrid w:val="0"/>
                    </w:rPr>
                  </w:pPr>
                  <w:r>
                    <w:rPr>
                      <w:rFonts w:hint="eastAsia"/>
                      <w:snapToGrid w:val="0"/>
                    </w:rPr>
                    <w:t>/</w:t>
                  </w:r>
                </w:p>
              </w:tc>
            </w:tr>
            <w:tr w14:paraId="75402C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017BEB72">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0A042053">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5B58D490">
                  <w:pPr>
                    <w:widowControl/>
                    <w:jc w:val="left"/>
                    <w:rPr>
                      <w:snapToGrid w:val="0"/>
                      <w:color w:val="000000" w:themeColor="text1"/>
                      <w:szCs w:val="21"/>
                      <w14:textFill>
                        <w14:solidFill>
                          <w14:schemeClr w14:val="tx1"/>
                        </w14:solidFill>
                      </w14:textFill>
                    </w:rPr>
                  </w:pPr>
                </w:p>
              </w:tc>
              <w:tc>
                <w:tcPr>
                  <w:tcW w:w="590" w:type="dxa"/>
                  <w:vMerge w:val="continue"/>
                  <w:vAlign w:val="center"/>
                </w:tcPr>
                <w:p w14:paraId="79DF776E">
                  <w:pPr>
                    <w:pStyle w:val="86"/>
                  </w:pPr>
                </w:p>
              </w:tc>
              <w:tc>
                <w:tcPr>
                  <w:tcW w:w="5705" w:type="dxa"/>
                  <w:vAlign w:val="center"/>
                </w:tcPr>
                <w:p w14:paraId="0CF5BAB0">
                  <w:pPr>
                    <w:pStyle w:val="82"/>
                    <w:ind w:firstLine="420"/>
                  </w:pPr>
                  <w:r>
                    <w:rPr>
                      <w:rFonts w:hint="eastAsia"/>
                    </w:rPr>
                    <w:t>5、建立完善有效的环境风险防控设施和有效的拦截、降污、导流等措施，防止对地表水环境造成危害。</w:t>
                  </w:r>
                </w:p>
              </w:tc>
              <w:tc>
                <w:tcPr>
                  <w:tcW w:w="3089" w:type="dxa"/>
                  <w:vAlign w:val="center"/>
                </w:tcPr>
                <w:p w14:paraId="4A07B200">
                  <w:pPr>
                    <w:pStyle w:val="82"/>
                    <w:ind w:firstLine="420"/>
                    <w:rPr>
                      <w:snapToGrid w:val="0"/>
                      <w:color w:val="FF0000"/>
                    </w:rPr>
                  </w:pPr>
                  <w:r>
                    <w:t>本项目不涉及</w:t>
                  </w:r>
                </w:p>
              </w:tc>
              <w:tc>
                <w:tcPr>
                  <w:tcW w:w="609" w:type="dxa"/>
                  <w:vAlign w:val="center"/>
                </w:tcPr>
                <w:p w14:paraId="24448F74">
                  <w:pPr>
                    <w:pStyle w:val="86"/>
                    <w:rPr>
                      <w:snapToGrid w:val="0"/>
                    </w:rPr>
                  </w:pPr>
                  <w:r>
                    <w:rPr>
                      <w:rFonts w:hint="eastAsia"/>
                      <w:snapToGrid w:val="0"/>
                    </w:rPr>
                    <w:t>/</w:t>
                  </w:r>
                </w:p>
              </w:tc>
            </w:tr>
            <w:tr w14:paraId="326C2A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606" w:type="dxa"/>
                  <w:vMerge w:val="continue"/>
                  <w:vAlign w:val="center"/>
                </w:tcPr>
                <w:p w14:paraId="3A00E8BC">
                  <w:pPr>
                    <w:widowControl/>
                    <w:jc w:val="left"/>
                    <w:rPr>
                      <w:snapToGrid w:val="0"/>
                      <w:color w:val="000000" w:themeColor="text1"/>
                      <w:szCs w:val="21"/>
                      <w14:textFill>
                        <w14:solidFill>
                          <w14:schemeClr w14:val="tx1"/>
                        </w14:solidFill>
                      </w14:textFill>
                    </w:rPr>
                  </w:pPr>
                </w:p>
              </w:tc>
              <w:tc>
                <w:tcPr>
                  <w:tcW w:w="860" w:type="dxa"/>
                  <w:vMerge w:val="continue"/>
                  <w:vAlign w:val="center"/>
                </w:tcPr>
                <w:p w14:paraId="4FED563A">
                  <w:pPr>
                    <w:widowControl/>
                    <w:jc w:val="left"/>
                    <w:rPr>
                      <w:snapToGrid w:val="0"/>
                      <w:color w:val="000000" w:themeColor="text1"/>
                      <w:szCs w:val="21"/>
                      <w14:textFill>
                        <w14:solidFill>
                          <w14:schemeClr w14:val="tx1"/>
                        </w14:solidFill>
                      </w14:textFill>
                    </w:rPr>
                  </w:pPr>
                </w:p>
              </w:tc>
              <w:tc>
                <w:tcPr>
                  <w:tcW w:w="850" w:type="dxa"/>
                  <w:vMerge w:val="continue"/>
                  <w:vAlign w:val="center"/>
                </w:tcPr>
                <w:p w14:paraId="5F11D86B">
                  <w:pPr>
                    <w:widowControl/>
                    <w:jc w:val="left"/>
                    <w:rPr>
                      <w:snapToGrid w:val="0"/>
                      <w:color w:val="000000" w:themeColor="text1"/>
                      <w:szCs w:val="21"/>
                      <w14:textFill>
                        <w14:solidFill>
                          <w14:schemeClr w14:val="tx1"/>
                        </w14:solidFill>
                      </w14:textFill>
                    </w:rPr>
                  </w:pPr>
                </w:p>
              </w:tc>
              <w:tc>
                <w:tcPr>
                  <w:tcW w:w="590" w:type="dxa"/>
                  <w:vAlign w:val="center"/>
                </w:tcPr>
                <w:p w14:paraId="4AA8698C">
                  <w:pPr>
                    <w:pStyle w:val="86"/>
                  </w:pPr>
                  <w:r>
                    <w:t>资源利用效率要求</w:t>
                  </w:r>
                </w:p>
              </w:tc>
              <w:tc>
                <w:tcPr>
                  <w:tcW w:w="5705" w:type="dxa"/>
                  <w:vAlign w:val="center"/>
                </w:tcPr>
                <w:p w14:paraId="39E5F02F">
                  <w:pPr>
                    <w:pStyle w:val="82"/>
                    <w:ind w:firstLine="420"/>
                  </w:pPr>
                  <w:r>
                    <w:rPr>
                      <w:rFonts w:hint="eastAsia"/>
                    </w:rPr>
                    <w:t>进一步优化能源结构，加快集中供热、供水等及配套管网建设，逐步关停企业自备水井。</w:t>
                  </w:r>
                </w:p>
              </w:tc>
              <w:tc>
                <w:tcPr>
                  <w:tcW w:w="3089" w:type="dxa"/>
                  <w:vAlign w:val="center"/>
                </w:tcPr>
                <w:p w14:paraId="453C0A20">
                  <w:pPr>
                    <w:pStyle w:val="82"/>
                    <w:ind w:firstLine="420"/>
                    <w:rPr>
                      <w:snapToGrid w:val="0"/>
                      <w:color w:val="FF0000"/>
                    </w:rPr>
                  </w:pPr>
                  <w:r>
                    <w:t>本项目</w:t>
                  </w:r>
                  <w:r>
                    <w:rPr>
                      <w:rFonts w:hint="eastAsia"/>
                    </w:rPr>
                    <w:t>用水由市政自来水管网提供。</w:t>
                  </w:r>
                </w:p>
              </w:tc>
              <w:tc>
                <w:tcPr>
                  <w:tcW w:w="609" w:type="dxa"/>
                  <w:vAlign w:val="center"/>
                </w:tcPr>
                <w:p w14:paraId="2B5D394E">
                  <w:pPr>
                    <w:pStyle w:val="86"/>
                  </w:pPr>
                  <w:r>
                    <w:rPr>
                      <w:snapToGrid w:val="0"/>
                    </w:rPr>
                    <w:t>符合</w:t>
                  </w:r>
                </w:p>
              </w:tc>
            </w:tr>
          </w:tbl>
          <w:p w14:paraId="7AA156F8">
            <w:pPr>
              <w:pStyle w:val="28"/>
              <w:ind w:firstLine="480"/>
            </w:pPr>
            <w:r>
              <w:rPr>
                <w:kern w:val="0"/>
              </w:rPr>
              <w:t>由上表可知，本项目符合</w:t>
            </w:r>
            <w:r>
              <w:rPr>
                <w:rFonts w:hint="eastAsia"/>
              </w:rPr>
              <w:t>《新乡市“三线一单”生态环境准入清单（2023年版）-获嘉县先进制造业开发区环境管控单元生态环境准入清单》中的相关要求。</w:t>
            </w:r>
          </w:p>
          <w:p w14:paraId="1A92629B">
            <w:pPr>
              <w:pStyle w:val="28"/>
              <w:ind w:firstLine="480"/>
            </w:pPr>
          </w:p>
          <w:p w14:paraId="5997FCBA">
            <w:pPr>
              <w:pStyle w:val="28"/>
              <w:ind w:firstLine="480"/>
            </w:pPr>
          </w:p>
          <w:p w14:paraId="642DFFB0">
            <w:pPr>
              <w:pStyle w:val="28"/>
              <w:ind w:firstLine="480"/>
            </w:pPr>
          </w:p>
          <w:p w14:paraId="2BF550CC">
            <w:pPr>
              <w:pStyle w:val="28"/>
              <w:ind w:firstLine="480"/>
            </w:pPr>
          </w:p>
          <w:p w14:paraId="3C17845B">
            <w:pPr>
              <w:pStyle w:val="28"/>
              <w:ind w:firstLine="480"/>
            </w:pPr>
          </w:p>
          <w:p w14:paraId="6652598E">
            <w:pPr>
              <w:pStyle w:val="28"/>
              <w:ind w:firstLine="480"/>
            </w:pPr>
          </w:p>
          <w:p w14:paraId="675125E2">
            <w:pPr>
              <w:pStyle w:val="28"/>
              <w:ind w:firstLine="480"/>
            </w:pPr>
          </w:p>
          <w:p w14:paraId="0D7CCA2A">
            <w:pPr>
              <w:pStyle w:val="28"/>
              <w:ind w:firstLine="480"/>
            </w:pPr>
          </w:p>
          <w:p w14:paraId="31ABF4CA">
            <w:pPr>
              <w:pStyle w:val="28"/>
              <w:ind w:firstLine="480"/>
            </w:pPr>
          </w:p>
          <w:p w14:paraId="3A61F650">
            <w:pPr>
              <w:pStyle w:val="28"/>
              <w:ind w:firstLine="480"/>
            </w:pPr>
          </w:p>
          <w:p w14:paraId="33364A22">
            <w:pPr>
              <w:pStyle w:val="28"/>
              <w:ind w:firstLine="480"/>
            </w:pPr>
          </w:p>
          <w:p w14:paraId="36C73FB7">
            <w:pPr>
              <w:pStyle w:val="28"/>
              <w:ind w:firstLine="480"/>
            </w:pPr>
          </w:p>
          <w:p w14:paraId="14E428A6">
            <w:pPr>
              <w:pStyle w:val="28"/>
              <w:ind w:firstLine="480"/>
            </w:pPr>
          </w:p>
          <w:p w14:paraId="0FF821A1">
            <w:pPr>
              <w:pStyle w:val="28"/>
              <w:ind w:firstLine="480"/>
            </w:pPr>
          </w:p>
        </w:tc>
      </w:tr>
    </w:tbl>
    <w:p w14:paraId="68A800EA">
      <w:pPr>
        <w:autoSpaceDE w:val="0"/>
        <w:autoSpaceDN w:val="0"/>
        <w:adjustRightInd w:val="0"/>
        <w:snapToGrid w:val="0"/>
        <w:rPr>
          <w:color w:val="000000" w:themeColor="text1"/>
          <w:kern w:val="0"/>
          <w:szCs w:val="21"/>
          <w14:textFill>
            <w14:solidFill>
              <w14:schemeClr w14:val="tx1"/>
            </w14:solidFill>
          </w14:textFill>
        </w:rPr>
        <w:sectPr>
          <w:pgSz w:w="16838" w:h="11906" w:orient="landscape"/>
          <w:pgMar w:top="1531" w:right="1701" w:bottom="1531" w:left="1701" w:header="851" w:footer="1077" w:gutter="0"/>
          <w:cols w:space="720" w:num="1"/>
          <w:docGrid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8050"/>
      </w:tblGrid>
      <w:tr w14:paraId="7B71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88" w:type="dxa"/>
            <w:vAlign w:val="center"/>
          </w:tcPr>
          <w:p w14:paraId="42D27653">
            <w:pPr>
              <w:autoSpaceDE w:val="0"/>
              <w:autoSpaceDN w:val="0"/>
              <w:adjustRightInd w:val="0"/>
              <w:snapToGrid w:val="0"/>
              <w:rPr>
                <w:color w:val="000000" w:themeColor="text1"/>
                <w:kern w:val="0"/>
                <w:szCs w:val="21"/>
                <w14:textFill>
                  <w14:solidFill>
                    <w14:schemeClr w14:val="tx1"/>
                  </w14:solidFill>
                </w14:textFill>
              </w:rPr>
            </w:pPr>
          </w:p>
        </w:tc>
        <w:tc>
          <w:tcPr>
            <w:tcW w:w="7846" w:type="dxa"/>
            <w:vAlign w:val="center"/>
          </w:tcPr>
          <w:p w14:paraId="1F1213C3">
            <w:pPr>
              <w:pStyle w:val="90"/>
              <w:ind w:firstLine="482"/>
            </w:pPr>
            <w:r>
              <w:t>6</w:t>
            </w:r>
            <w:r>
              <w:rPr>
                <w:rFonts w:hint="eastAsia"/>
              </w:rPr>
              <w:t>、与其他相关政策文件相符性分析</w:t>
            </w:r>
          </w:p>
          <w:p w14:paraId="138CEFDE">
            <w:pPr>
              <w:pStyle w:val="28"/>
              <w:ind w:firstLine="480"/>
              <w:rPr>
                <w:kern w:val="0"/>
                <w:sz w:val="28"/>
                <w:szCs w:val="28"/>
              </w:rPr>
            </w:pPr>
            <w:r>
              <w:rPr>
                <w:rFonts w:hint="eastAsia"/>
              </w:rPr>
              <w:t>（1）</w:t>
            </w:r>
            <w:r>
              <w:t>本项目</w:t>
            </w:r>
            <w:r>
              <w:rPr>
                <w:rFonts w:hint="eastAsia"/>
              </w:rPr>
              <w:t>与新乡市环境污染防治攻坚指挥部办公室关于印发《新乡市深入打好秋冬季重污染天气消除、夏季臭氧污染防治和柴油货车污染治理攻坚战实施方案》的通知</w:t>
            </w:r>
            <w:r>
              <w:t>（</w:t>
            </w:r>
            <w:r>
              <w:rPr>
                <w:rFonts w:hint="eastAsia"/>
              </w:rPr>
              <w:t>新环攻坚办</w:t>
            </w:r>
            <w:r>
              <w:rPr>
                <w:rFonts w:hint="eastAsia" w:ascii="宋体" w:hAnsi="宋体"/>
              </w:rPr>
              <w:t>〔</w:t>
            </w:r>
            <w:r>
              <w:t>2023</w:t>
            </w:r>
            <w:r>
              <w:rPr>
                <w:rFonts w:hint="eastAsia" w:ascii="宋体" w:hAnsi="宋体"/>
              </w:rPr>
              <w:t>〕</w:t>
            </w:r>
            <w:r>
              <w:t>73</w:t>
            </w:r>
            <w:r>
              <w:rPr>
                <w:rFonts w:hint="eastAsia"/>
              </w:rPr>
              <w:t>号</w:t>
            </w:r>
            <w:r>
              <w:t>）</w:t>
            </w:r>
            <w:r>
              <w:rPr>
                <w:rFonts w:hint="eastAsia"/>
              </w:rPr>
              <w:t>（以下简称《通知》）对比分析</w:t>
            </w:r>
          </w:p>
          <w:p w14:paraId="24069FF9">
            <w:pPr>
              <w:spacing w:line="460" w:lineRule="exact"/>
              <w:ind w:firstLine="480" w:firstLineChars="200"/>
              <w:rPr>
                <w:color w:val="000000"/>
                <w:sz w:val="24"/>
              </w:rPr>
            </w:pPr>
            <w:r>
              <w:rPr>
                <w:rFonts w:hint="eastAsia" w:ascii="宋体" w:hAnsi="宋体"/>
                <w:color w:val="000000"/>
                <w:sz w:val="24"/>
              </w:rPr>
              <w:t>分析情况见下表：</w:t>
            </w:r>
          </w:p>
          <w:p w14:paraId="20DACAD4">
            <w:pPr>
              <w:pStyle w:val="67"/>
              <w:ind w:firstLine="480"/>
            </w:pPr>
            <w:r>
              <w:t xml:space="preserve">          </w:t>
            </w:r>
            <w:r>
              <w:rPr>
                <w:rFonts w:hint="eastAsia"/>
              </w:rPr>
              <w:t xml:space="preserve">    </w:t>
            </w:r>
            <w:r>
              <w:t>与《</w:t>
            </w:r>
            <w:r>
              <w:rPr>
                <w:rFonts w:hint="eastAsia"/>
              </w:rPr>
              <w:t>通知</w:t>
            </w:r>
            <w:r>
              <w:t>》对比表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351"/>
              <w:gridCol w:w="907"/>
              <w:gridCol w:w="3735"/>
              <w:gridCol w:w="2177"/>
              <w:gridCol w:w="664"/>
            </w:tblGrid>
            <w:tr w14:paraId="542AA65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879" w:type="dxa"/>
                  <w:gridSpan w:val="3"/>
                  <w:vAlign w:val="center"/>
                </w:tcPr>
                <w:p w14:paraId="04A3DCD1">
                  <w:pPr>
                    <w:pStyle w:val="86"/>
                    <w:rPr>
                      <w:b/>
                      <w:bCs w:val="0"/>
                    </w:rPr>
                  </w:pPr>
                  <w:r>
                    <w:rPr>
                      <w:b/>
                      <w:bCs w:val="0"/>
                    </w:rPr>
                    <w:t>与本项目相关条文</w:t>
                  </w:r>
                </w:p>
              </w:tc>
              <w:tc>
                <w:tcPr>
                  <w:tcW w:w="2127" w:type="dxa"/>
                  <w:vAlign w:val="center"/>
                </w:tcPr>
                <w:p w14:paraId="1D5B0170">
                  <w:pPr>
                    <w:pStyle w:val="86"/>
                    <w:rPr>
                      <w:b/>
                      <w:bCs w:val="0"/>
                    </w:rPr>
                  </w:pPr>
                  <w:r>
                    <w:rPr>
                      <w:b/>
                      <w:bCs w:val="0"/>
                    </w:rPr>
                    <w:t>本项目情况</w:t>
                  </w:r>
                </w:p>
              </w:tc>
              <w:tc>
                <w:tcPr>
                  <w:tcW w:w="649" w:type="dxa"/>
                  <w:vAlign w:val="center"/>
                </w:tcPr>
                <w:p w14:paraId="4752F26A">
                  <w:pPr>
                    <w:pStyle w:val="86"/>
                    <w:rPr>
                      <w:b/>
                      <w:bCs w:val="0"/>
                    </w:rPr>
                  </w:pPr>
                  <w:r>
                    <w:rPr>
                      <w:b/>
                      <w:bCs w:val="0"/>
                    </w:rPr>
                    <w:t>对比结果</w:t>
                  </w:r>
                </w:p>
              </w:tc>
            </w:tr>
            <w:tr w14:paraId="4187DDC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655" w:type="dxa"/>
                  <w:gridSpan w:val="5"/>
                  <w:vAlign w:val="center"/>
                </w:tcPr>
                <w:p w14:paraId="033C7602">
                  <w:pPr>
                    <w:pStyle w:val="86"/>
                    <w:rPr>
                      <w:b/>
                      <w:bCs w:val="0"/>
                    </w:rPr>
                  </w:pPr>
                  <w:r>
                    <w:rPr>
                      <w:b/>
                      <w:bCs w:val="0"/>
                    </w:rPr>
                    <w:t>《</w:t>
                  </w:r>
                  <w:r>
                    <w:rPr>
                      <w:rFonts w:hint="eastAsia"/>
                      <w:b/>
                      <w:bCs w:val="0"/>
                    </w:rPr>
                    <w:t>秋冬季重污染天气消除</w:t>
                  </w:r>
                  <w:r>
                    <w:rPr>
                      <w:b/>
                      <w:bCs w:val="0"/>
                    </w:rPr>
                    <w:t>攻坚</w:t>
                  </w:r>
                  <w:r>
                    <w:rPr>
                      <w:rFonts w:hint="eastAsia"/>
                      <w:b/>
                      <w:bCs w:val="0"/>
                    </w:rPr>
                    <w:t>战</w:t>
                  </w:r>
                  <w:r>
                    <w:rPr>
                      <w:b/>
                      <w:bCs w:val="0"/>
                    </w:rPr>
                    <w:t>实施方案》</w:t>
                  </w:r>
                </w:p>
              </w:tc>
            </w:tr>
            <w:tr w14:paraId="25EBA26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43" w:type="dxa"/>
                  <w:vMerge w:val="restart"/>
                  <w:vAlign w:val="center"/>
                </w:tcPr>
                <w:p w14:paraId="14530358">
                  <w:pPr>
                    <w:pStyle w:val="86"/>
                    <w:rPr>
                      <w:b/>
                      <w:bCs w:val="0"/>
                    </w:rPr>
                  </w:pPr>
                  <w:r>
                    <w:rPr>
                      <w:rFonts w:hint="eastAsia"/>
                      <w:b/>
                      <w:bCs w:val="0"/>
                    </w:rPr>
                    <w:t>二</w:t>
                  </w:r>
                </w:p>
                <w:p w14:paraId="4FB4035C">
                  <w:pPr>
                    <w:pStyle w:val="86"/>
                    <w:rPr>
                      <w:b/>
                      <w:bCs w:val="0"/>
                      <w:szCs w:val="21"/>
                    </w:rPr>
                  </w:pPr>
                  <w:r>
                    <w:rPr>
                      <w:rFonts w:hint="eastAsia"/>
                      <w:b/>
                      <w:bCs w:val="0"/>
                    </w:rPr>
                    <w:t>、大气减污降碳协同增效行动</w:t>
                  </w:r>
                </w:p>
              </w:tc>
              <w:tc>
                <w:tcPr>
                  <w:tcW w:w="886" w:type="dxa"/>
                  <w:vMerge w:val="restart"/>
                  <w:vAlign w:val="center"/>
                </w:tcPr>
                <w:p w14:paraId="47F1C9B2">
                  <w:pPr>
                    <w:pStyle w:val="86"/>
                    <w:rPr>
                      <w:szCs w:val="21"/>
                    </w:rPr>
                  </w:pPr>
                  <w:r>
                    <w:rPr>
                      <w:rFonts w:hint="eastAsia"/>
                      <w:szCs w:val="21"/>
                    </w:rPr>
                    <w:t>（一）加快产业结构优化调整</w:t>
                  </w:r>
                </w:p>
              </w:tc>
              <w:tc>
                <w:tcPr>
                  <w:tcW w:w="3650" w:type="dxa"/>
                  <w:vAlign w:val="center"/>
                </w:tcPr>
                <w:p w14:paraId="21D3935F">
                  <w:pPr>
                    <w:pStyle w:val="82"/>
                    <w:ind w:firstLine="420"/>
                    <w:rPr>
                      <w:sz w:val="28"/>
                      <w:szCs w:val="28"/>
                    </w:rPr>
                  </w:pPr>
                  <w:r>
                    <w:rPr>
                      <w:rFonts w:hint="eastAsia"/>
                    </w:rPr>
                    <w:t>遏制“两高”项目盲目发展。严格落实国家、省产业规划、产业政策、“三线一单”、规划环评，以及产能置换、煤炭消费减量替代、区域污染物削减等要求，严把高耗能、高排放、低水平项目准入关口。全市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w:t>
                  </w:r>
                  <w:r>
                    <w:t>A</w:t>
                  </w:r>
                  <w:r>
                    <w:rPr>
                      <w:rFonts w:hint="eastAsia"/>
                    </w:rPr>
                    <w:t>级绩效水平，改建项目污染物排放限值、污染治理措施、无组织排放控制水平、运输方式等达到</w:t>
                  </w:r>
                  <w:r>
                    <w:t>B</w:t>
                  </w:r>
                  <w:r>
                    <w:rPr>
                      <w:rFonts w:hint="eastAsia"/>
                    </w:rPr>
                    <w:t>级以上绩效水平。新建、改建、扩建项目大宗货物年货运量</w:t>
                  </w:r>
                  <w:r>
                    <w:t>150</w:t>
                  </w:r>
                  <w:r>
                    <w:rPr>
                      <w:rFonts w:hint="eastAsia"/>
                    </w:rPr>
                    <w:t>万吨及以上的，原则上要接入铁路专用线或管道；具有铁路专用线的，大宗货物铁路运输比例达到</w:t>
                  </w:r>
                  <w:r>
                    <w:t>80</w:t>
                  </w:r>
                  <w:r>
                    <w:rPr>
                      <w:rFonts w:hint="eastAsia"/>
                    </w:rPr>
                    <w:t>%以上。</w:t>
                  </w:r>
                </w:p>
              </w:tc>
              <w:tc>
                <w:tcPr>
                  <w:tcW w:w="2127" w:type="dxa"/>
                  <w:vAlign w:val="center"/>
                </w:tcPr>
                <w:p w14:paraId="4CC977F5">
                  <w:pPr>
                    <w:pStyle w:val="82"/>
                    <w:ind w:firstLine="420"/>
                  </w:pPr>
                  <w:r>
                    <w:rPr>
                      <w:rFonts w:hint="eastAsia"/>
                    </w:rPr>
                    <w:t>本项目为再生塑料颗粒加工</w:t>
                  </w:r>
                  <w:r>
                    <w:t>项目</w:t>
                  </w:r>
                  <w:r>
                    <w:rPr>
                      <w:rFonts w:hint="eastAsia"/>
                    </w:rPr>
                    <w:t>，满足国家、省产业规划、产业政策、“三线一单”、规划环评、区域污染物削减等相关要求，不属于高耗能、高排放、低水平项目，不属于钢铁、电解铝、氧化铝、水泥熟料、平板玻璃、煤化工、焦化、铝用碳素、耐火材料和砖瓦制品。本项目将按要求进行“三同时”建设。本项目为扩建项目，按照《河南省重污染天气重点行业应急减排措施制定技术指南（2024年修订版）》塑料制品行业A级企业分级指标要求进行建设。本项目不涉及大宗货物运输。</w:t>
                  </w:r>
                </w:p>
              </w:tc>
              <w:tc>
                <w:tcPr>
                  <w:tcW w:w="649" w:type="dxa"/>
                  <w:vAlign w:val="center"/>
                </w:tcPr>
                <w:p w14:paraId="680BC0AD">
                  <w:pPr>
                    <w:adjustRightInd w:val="0"/>
                    <w:snapToGrid w:val="0"/>
                    <w:jc w:val="center"/>
                    <w:textAlignment w:val="baseline"/>
                    <w:outlineLvl w:val="0"/>
                  </w:pPr>
                  <w:r>
                    <w:rPr>
                      <w:rFonts w:ascii="宋体" w:hAnsi="宋体"/>
                    </w:rPr>
                    <w:t>符合</w:t>
                  </w:r>
                </w:p>
              </w:tc>
            </w:tr>
            <w:tr w14:paraId="5AAFE89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43" w:type="dxa"/>
                  <w:vMerge w:val="continue"/>
                  <w:vAlign w:val="center"/>
                </w:tcPr>
                <w:p w14:paraId="5BC26FC2">
                  <w:pPr>
                    <w:pStyle w:val="86"/>
                    <w:rPr>
                      <w:b/>
                      <w:bCs w:val="0"/>
                    </w:rPr>
                  </w:pPr>
                </w:p>
              </w:tc>
              <w:tc>
                <w:tcPr>
                  <w:tcW w:w="886" w:type="dxa"/>
                  <w:vMerge w:val="continue"/>
                  <w:vAlign w:val="center"/>
                </w:tcPr>
                <w:p w14:paraId="4D46489B">
                  <w:pPr>
                    <w:pStyle w:val="86"/>
                    <w:rPr>
                      <w:szCs w:val="21"/>
                    </w:rPr>
                  </w:pPr>
                </w:p>
              </w:tc>
              <w:tc>
                <w:tcPr>
                  <w:tcW w:w="3650" w:type="dxa"/>
                  <w:vAlign w:val="center"/>
                </w:tcPr>
                <w:p w14:paraId="1C5C4810">
                  <w:pPr>
                    <w:pStyle w:val="82"/>
                    <w:ind w:firstLine="420"/>
                  </w:pPr>
                  <w:r>
                    <w:rPr>
                      <w:rFonts w:hint="eastAsia"/>
                    </w:rPr>
                    <w:t>依法依规淘汰落后产能。落实国家《产业结构调整指导目录》，按照《河南省淘汰落后产能综合标准体系》最新修订本，严格执行质量、环保、能耗、安全等法规标准，按照省定标准，淘汰大气污染物排放强度高、治理难度大以及产能过剩行业的工艺和装备，实施落后产能“动态清零”。</w:t>
                  </w:r>
                </w:p>
              </w:tc>
              <w:tc>
                <w:tcPr>
                  <w:tcW w:w="2127" w:type="dxa"/>
                  <w:vAlign w:val="center"/>
                </w:tcPr>
                <w:p w14:paraId="1B455AEB">
                  <w:pPr>
                    <w:pStyle w:val="82"/>
                    <w:ind w:firstLine="420"/>
                  </w:pPr>
                  <w:r>
                    <w:rPr>
                      <w:rFonts w:hint="eastAsia"/>
                    </w:rPr>
                    <w:t>根据《产业结构调整指导目录（2024年本）》，本项目生产规模、生产设备、生产工艺属于“鼓励类”，不属于“淘汰类”；本项目不属于大气污染物排放强度大、治理难度大以及产能过剩行业，严格执行《河南省淘汰落后产能综合标准体系（2</w:t>
                  </w:r>
                  <w:r>
                    <w:t>020</w:t>
                  </w:r>
                  <w:r>
                    <w:rPr>
                      <w:rFonts w:hint="eastAsia"/>
                    </w:rPr>
                    <w:t>年本）》中质量、环保、能耗、安全等法规标准。</w:t>
                  </w:r>
                </w:p>
              </w:tc>
              <w:tc>
                <w:tcPr>
                  <w:tcW w:w="649" w:type="dxa"/>
                  <w:vAlign w:val="center"/>
                </w:tcPr>
                <w:p w14:paraId="4EBD9953">
                  <w:pPr>
                    <w:adjustRightInd w:val="0"/>
                    <w:snapToGrid w:val="0"/>
                    <w:jc w:val="center"/>
                    <w:textAlignment w:val="baseline"/>
                    <w:outlineLvl w:val="0"/>
                    <w:rPr>
                      <w:rFonts w:hint="eastAsia" w:ascii="宋体" w:hAnsi="宋体"/>
                    </w:rPr>
                  </w:pPr>
                  <w:r>
                    <w:rPr>
                      <w:rFonts w:ascii="宋体" w:hAnsi="宋体"/>
                    </w:rPr>
                    <w:t>符合</w:t>
                  </w:r>
                </w:p>
              </w:tc>
            </w:tr>
            <w:tr w14:paraId="388442F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43" w:type="dxa"/>
                  <w:vMerge w:val="continue"/>
                  <w:vAlign w:val="center"/>
                </w:tcPr>
                <w:p w14:paraId="297A7765">
                  <w:pPr>
                    <w:pStyle w:val="86"/>
                    <w:rPr>
                      <w:b/>
                      <w:bCs w:val="0"/>
                    </w:rPr>
                  </w:pPr>
                </w:p>
              </w:tc>
              <w:tc>
                <w:tcPr>
                  <w:tcW w:w="886" w:type="dxa"/>
                  <w:vAlign w:val="center"/>
                </w:tcPr>
                <w:p w14:paraId="5A431A4F">
                  <w:pPr>
                    <w:pStyle w:val="86"/>
                    <w:rPr>
                      <w:szCs w:val="21"/>
                    </w:rPr>
                  </w:pPr>
                  <w:r>
                    <w:rPr>
                      <w:rFonts w:hint="eastAsia"/>
                      <w:szCs w:val="21"/>
                    </w:rPr>
                    <w:t>（二）推进能源结构清洁化</w:t>
                  </w:r>
                </w:p>
              </w:tc>
              <w:tc>
                <w:tcPr>
                  <w:tcW w:w="3650" w:type="dxa"/>
                  <w:vAlign w:val="center"/>
                </w:tcPr>
                <w:p w14:paraId="5B552084">
                  <w:pPr>
                    <w:pStyle w:val="82"/>
                    <w:ind w:firstLine="420"/>
                  </w:pPr>
                  <w:r>
                    <w:t>严控煤炭消费增长。持续实施耗煤项目煤炭消费替代，全市新建、改建、扩建耗煤项目实施煤炭等量或减量替代，重点压减高耗能、高排放、低水平产能煤炭消费总量，不得以石油焦、焦炭、兰炭等高污染燃料使用量替代煤炭削减量。到2025年，全市煤炭占能源消费总量比重持续下降，煤炭消费总量完成省下达我市控制目标。</w:t>
                  </w:r>
                </w:p>
              </w:tc>
              <w:tc>
                <w:tcPr>
                  <w:tcW w:w="2127" w:type="dxa"/>
                  <w:vAlign w:val="center"/>
                </w:tcPr>
                <w:p w14:paraId="6BCD3D4B">
                  <w:pPr>
                    <w:pStyle w:val="82"/>
                    <w:ind w:firstLine="420"/>
                    <w:rPr>
                      <w:color w:val="000000"/>
                      <w:szCs w:val="21"/>
                    </w:rPr>
                  </w:pPr>
                  <w:r>
                    <w:rPr>
                      <w:rFonts w:hint="eastAsia"/>
                      <w:color w:val="000000"/>
                      <w:szCs w:val="21"/>
                    </w:rPr>
                    <w:t>本项目采用电力为能源，不涉及煤炭。</w:t>
                  </w:r>
                </w:p>
              </w:tc>
              <w:tc>
                <w:tcPr>
                  <w:tcW w:w="649" w:type="dxa"/>
                  <w:vAlign w:val="center"/>
                </w:tcPr>
                <w:p w14:paraId="3BB5622E">
                  <w:pPr>
                    <w:adjustRightInd w:val="0"/>
                    <w:snapToGrid w:val="0"/>
                    <w:jc w:val="center"/>
                    <w:textAlignment w:val="baseline"/>
                    <w:outlineLvl w:val="0"/>
                    <w:rPr>
                      <w:rFonts w:hint="eastAsia" w:ascii="宋体" w:hAnsi="宋体"/>
                    </w:rPr>
                  </w:pPr>
                  <w:r>
                    <w:rPr>
                      <w:rFonts w:ascii="宋体" w:hAnsi="宋体"/>
                    </w:rPr>
                    <w:t>符合</w:t>
                  </w:r>
                </w:p>
              </w:tc>
            </w:tr>
            <w:tr w14:paraId="2E1A0C1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655" w:type="dxa"/>
                  <w:gridSpan w:val="5"/>
                  <w:vAlign w:val="center"/>
                </w:tcPr>
                <w:p w14:paraId="450A1024">
                  <w:pPr>
                    <w:adjustRightInd w:val="0"/>
                    <w:snapToGrid w:val="0"/>
                    <w:jc w:val="center"/>
                    <w:textAlignment w:val="baseline"/>
                    <w:outlineLvl w:val="0"/>
                  </w:pPr>
                  <w:r>
                    <w:rPr>
                      <w:rFonts w:hint="eastAsia" w:ascii="宋体" w:hAnsi="宋体"/>
                      <w:b/>
                    </w:rPr>
                    <w:t>《夏季臭氧污染防治攻坚战实施方案》</w:t>
                  </w:r>
                </w:p>
              </w:tc>
            </w:tr>
            <w:tr w14:paraId="3DFC6A1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229" w:type="dxa"/>
                  <w:gridSpan w:val="2"/>
                  <w:vAlign w:val="center"/>
                </w:tcPr>
                <w:p w14:paraId="384DE3F5">
                  <w:pPr>
                    <w:rPr>
                      <w:b/>
                      <w:bCs/>
                    </w:rPr>
                  </w:pPr>
                  <w:r>
                    <w:rPr>
                      <w:rFonts w:hint="eastAsia"/>
                      <w:b/>
                      <w:bCs/>
                    </w:rPr>
                    <w:t>三、V</w:t>
                  </w:r>
                  <w:r>
                    <w:rPr>
                      <w:b/>
                      <w:bCs/>
                    </w:rPr>
                    <w:t>OC</w:t>
                  </w:r>
                  <w:r>
                    <w:rPr>
                      <w:rFonts w:hint="eastAsia"/>
                      <w:b/>
                      <w:bCs/>
                    </w:rPr>
                    <w:t>s污染治理达标行动</w:t>
                  </w:r>
                </w:p>
              </w:tc>
              <w:tc>
                <w:tcPr>
                  <w:tcW w:w="3650" w:type="dxa"/>
                  <w:vAlign w:val="center"/>
                </w:tcPr>
                <w:p w14:paraId="1F2F0A8B">
                  <w:pPr>
                    <w:pStyle w:val="82"/>
                    <w:ind w:firstLine="420"/>
                  </w:pPr>
                  <w:r>
                    <w:rPr>
                      <w:rFonts w:hint="eastAsia"/>
                    </w:rPr>
                    <w:t>持续开展VOCs治理设施提级增效。全面排查VOCs治理设施，动态更新治理设施清单台账，分析治理技术与VOCs废气排放特征、组分等匹配性。低浓度、大风量有机废气，采用沸石转轮吸附、活性炭吸附、减风增浓等浓缩技术，提高VOCs浓度后采用高温焚烧、催化燃烧等技术；高浓度废气，优先进行溶剂回收预处理，难以回收的，采用高温焚烧、催化燃烧等技术。采用催化燃烧工艺的企业使用合格的催化剂并足额添加，高温焚烧温度不低于760摄氏度，催化燃烧装置燃烧温度不低于300摄氏度，相关温度参数自动记录存储，储存时间不少于1年。采用活性炭吸附工艺的，原则上VOCs产生浓度不超过300毫克/立方米，废气中涉及颗粒物、油烟(油雾)、水分等影响吸附过程物质的，应采取相应的预处理措施，颗粒状、柱状活性炭碘值不低于800毫克/克，蜂窝状活性炭碘值不低于650毫克/克，活性炭填充量、更换频次满足环评要求，活性炭购买发票、更换记录、碘值报告等支撑材料保存3年以上；每年开展活性炭监督抽查，每年夏季对活性炭质量进行抽检，对活性炭质量不合格的企业依法追究责任。</w:t>
                  </w:r>
                </w:p>
              </w:tc>
              <w:tc>
                <w:tcPr>
                  <w:tcW w:w="2127" w:type="dxa"/>
                  <w:vAlign w:val="center"/>
                </w:tcPr>
                <w:p w14:paraId="6AB4367C">
                  <w:pPr>
                    <w:pStyle w:val="82"/>
                    <w:ind w:firstLine="420"/>
                  </w:pPr>
                  <w:r>
                    <w:rPr>
                      <w:rFonts w:hint="eastAsia"/>
                    </w:rPr>
                    <w:t>本项目熔融挤出工序产生的有机废气经工业高压静电油烟净化装置+活性炭吸附/脱附</w:t>
                  </w:r>
                  <w:r>
                    <w:t>-</w:t>
                  </w:r>
                  <w:r>
                    <w:rPr>
                      <w:rFonts w:hint="eastAsia"/>
                    </w:rPr>
                    <w:t>催化燃烧装置处理后达标排放。催化燃烧装置使用合格的催化剂并足额添加，催化燃烧装置燃烧温度不低于300摄氏度，相关温度参数自动记录存储，储存时间不少于1年，活性炭吸附/脱附</w:t>
                  </w:r>
                  <w:r>
                    <w:t>-</w:t>
                  </w:r>
                  <w:r>
                    <w:rPr>
                      <w:rFonts w:hint="eastAsia"/>
                    </w:rPr>
                    <w:t>催化燃烧装置采用碘值不低于6</w:t>
                  </w:r>
                  <w:r>
                    <w:t>5</w:t>
                  </w:r>
                  <w:r>
                    <w:rPr>
                      <w:rFonts w:hint="eastAsia"/>
                    </w:rPr>
                    <w:t>0毫克/克的蜂窝状活性炭，并定期更换，活性炭购买发票、更换记录、碘值报告等支撑材料保存3年以上。</w:t>
                  </w:r>
                </w:p>
              </w:tc>
              <w:tc>
                <w:tcPr>
                  <w:tcW w:w="649" w:type="dxa"/>
                  <w:vAlign w:val="center"/>
                </w:tcPr>
                <w:p w14:paraId="1E9B1189">
                  <w:pPr>
                    <w:adjustRightInd w:val="0"/>
                    <w:snapToGrid w:val="0"/>
                    <w:jc w:val="center"/>
                    <w:textAlignment w:val="baseline"/>
                    <w:outlineLvl w:val="0"/>
                  </w:pPr>
                  <w:r>
                    <w:rPr>
                      <w:rFonts w:ascii="宋体" w:hAnsi="宋体"/>
                    </w:rPr>
                    <w:t>符合</w:t>
                  </w:r>
                </w:p>
              </w:tc>
            </w:tr>
          </w:tbl>
          <w:p w14:paraId="177FE754">
            <w:pPr>
              <w:pStyle w:val="28"/>
              <w:ind w:firstLine="480"/>
              <w:rPr>
                <w:rFonts w:hint="eastAsia" w:ascii="黑体" w:hAnsi="黑体" w:eastAsia="黑体" w:cs="宋体"/>
                <w:sz w:val="30"/>
                <w:szCs w:val="30"/>
              </w:rPr>
            </w:pPr>
            <w:r>
              <w:t>由上表可知，本项目符合《</w:t>
            </w:r>
            <w:r>
              <w:rPr>
                <w:rFonts w:hint="eastAsia"/>
              </w:rPr>
              <w:t>通知</w:t>
            </w:r>
            <w:r>
              <w:t>》相关要求。</w:t>
            </w:r>
          </w:p>
          <w:p w14:paraId="2002A1ED">
            <w:pPr>
              <w:pStyle w:val="28"/>
              <w:ind w:firstLine="480"/>
            </w:pPr>
            <w:r>
              <w:rPr>
                <w:rFonts w:hint="eastAsia"/>
              </w:rPr>
              <w:t>（</w:t>
            </w:r>
            <w:r>
              <w:t>2</w:t>
            </w:r>
            <w:r>
              <w:rPr>
                <w:rFonts w:hint="eastAsia"/>
              </w:rPr>
              <w:t>）本项目与河南省生态环境保护委员会办公室关于印发《河南省2024年蓝天保卫战实施方案》《河南省2024年碧水保卫战实施方案》《河南省2024年净土保卫战实施方案》《河南省2024年柴油货车污染治理攻坚战实施方案》的通知（豫环委办〔2024〕7号）（以下简称《通知》）对比分析</w:t>
            </w:r>
          </w:p>
          <w:p w14:paraId="31F15AAD">
            <w:pPr>
              <w:spacing w:line="460" w:lineRule="exact"/>
              <w:ind w:firstLine="480" w:firstLineChars="200"/>
              <w:rPr>
                <w:color w:val="000000"/>
                <w:sz w:val="24"/>
              </w:rPr>
            </w:pPr>
            <w:r>
              <w:rPr>
                <w:rFonts w:hint="eastAsia" w:ascii="宋体" w:hAnsi="宋体"/>
                <w:color w:val="000000"/>
                <w:sz w:val="24"/>
              </w:rPr>
              <w:t>分析情况见下表：</w:t>
            </w:r>
          </w:p>
          <w:p w14:paraId="200AC7C2">
            <w:pPr>
              <w:pStyle w:val="67"/>
              <w:ind w:firstLine="480"/>
            </w:pPr>
            <w:r>
              <w:t xml:space="preserve">     </w:t>
            </w:r>
            <w:r>
              <w:rPr>
                <w:rFonts w:hint="eastAsia"/>
              </w:rPr>
              <w:t xml:space="preserve">      </w:t>
            </w:r>
            <w:r>
              <w:t xml:space="preserve">   与《</w:t>
            </w:r>
            <w:r>
              <w:rPr>
                <w:rFonts w:hint="eastAsia"/>
              </w:rPr>
              <w:t>通知</w:t>
            </w:r>
            <w:r>
              <w:t>》对比表</w:t>
            </w:r>
          </w:p>
          <w:tbl>
            <w:tblPr>
              <w:tblStyle w:val="21"/>
              <w:tblW w:w="7655"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41"/>
              <w:gridCol w:w="3838"/>
              <w:gridCol w:w="2126"/>
              <w:gridCol w:w="650"/>
            </w:tblGrid>
            <w:tr w14:paraId="5C703E2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879" w:type="dxa"/>
                  <w:gridSpan w:val="2"/>
                  <w:vAlign w:val="center"/>
                </w:tcPr>
                <w:p w14:paraId="589E1BF7">
                  <w:pPr>
                    <w:pStyle w:val="86"/>
                    <w:rPr>
                      <w:b/>
                      <w:bCs w:val="0"/>
                    </w:rPr>
                  </w:pPr>
                  <w:r>
                    <w:rPr>
                      <w:b/>
                      <w:bCs w:val="0"/>
                    </w:rPr>
                    <w:t>与本项目相关条文</w:t>
                  </w:r>
                </w:p>
              </w:tc>
              <w:tc>
                <w:tcPr>
                  <w:tcW w:w="2126" w:type="dxa"/>
                  <w:vAlign w:val="center"/>
                </w:tcPr>
                <w:p w14:paraId="44A3BF4D">
                  <w:pPr>
                    <w:pStyle w:val="86"/>
                    <w:rPr>
                      <w:b/>
                      <w:bCs w:val="0"/>
                    </w:rPr>
                  </w:pPr>
                  <w:r>
                    <w:rPr>
                      <w:b/>
                      <w:bCs w:val="0"/>
                    </w:rPr>
                    <w:t>本项目情况</w:t>
                  </w:r>
                </w:p>
              </w:tc>
              <w:tc>
                <w:tcPr>
                  <w:tcW w:w="650" w:type="dxa"/>
                  <w:vAlign w:val="center"/>
                </w:tcPr>
                <w:p w14:paraId="58EECE61">
                  <w:pPr>
                    <w:pStyle w:val="86"/>
                    <w:rPr>
                      <w:b/>
                      <w:bCs w:val="0"/>
                    </w:rPr>
                  </w:pPr>
                  <w:r>
                    <w:rPr>
                      <w:b/>
                      <w:bCs w:val="0"/>
                    </w:rPr>
                    <w:t>对比结果</w:t>
                  </w:r>
                </w:p>
              </w:tc>
            </w:tr>
            <w:tr w14:paraId="273EC77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55" w:type="dxa"/>
                  <w:gridSpan w:val="4"/>
                  <w:vAlign w:val="center"/>
                </w:tcPr>
                <w:p w14:paraId="2AB9715D">
                  <w:pPr>
                    <w:pStyle w:val="86"/>
                    <w:rPr>
                      <w:b/>
                      <w:bCs w:val="0"/>
                    </w:rPr>
                  </w:pPr>
                  <w:r>
                    <w:rPr>
                      <w:rFonts w:hint="eastAsia"/>
                      <w:b/>
                      <w:bCs w:val="0"/>
                    </w:rPr>
                    <w:t>河南省2024年蓝天保卫战实施方案</w:t>
                  </w:r>
                </w:p>
              </w:tc>
            </w:tr>
            <w:tr w14:paraId="75ED422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1" w:type="dxa"/>
                  <w:vMerge w:val="restart"/>
                  <w:vAlign w:val="center"/>
                </w:tcPr>
                <w:p w14:paraId="590DFD24">
                  <w:pPr>
                    <w:pStyle w:val="86"/>
                  </w:pPr>
                  <w:r>
                    <w:rPr>
                      <w:rFonts w:hint="eastAsia"/>
                    </w:rPr>
                    <w:t>（二）工业污染治理减排行动</w:t>
                  </w:r>
                </w:p>
              </w:tc>
              <w:tc>
                <w:tcPr>
                  <w:tcW w:w="3838" w:type="dxa"/>
                  <w:vAlign w:val="center"/>
                </w:tcPr>
                <w:p w14:paraId="08B54225">
                  <w:pPr>
                    <w:pStyle w:val="82"/>
                    <w:ind w:firstLine="420"/>
                  </w:pPr>
                  <w:r>
                    <w:rPr>
                      <w:rFonts w:hint="eastAsia"/>
                    </w:rPr>
                    <w:t>11.开展低效失效治理设施排查整治。制定工业炉窑、锅炉、涉VOCs等重点行业低效失效治理设施排查整治方案，建立整治提升企业清单，重点关注水喷淋脱硫、简易碱法脱硫、简易氨法脱硫脱硝、微生物脱硝、单一水膜（浴）除尘、湿法脱硫除尘一体化等脱硫脱硝除尘工艺，单一低温等离子、光氧化、光催化、非水溶性VOCs废气采用单一水喷淋吸收等VOCs治理工艺及上述工艺的组合（异味治理除外），处理机制不明、无法通过药剂或副产物进行污染物脱除效果评估的治理工艺，对无法稳定达标排放的，通过更换适宜高效治理工艺、清洁能源替代、原辅材料源头替代、关停淘汰等方式实施分类整治。对人工投加脱硫脱硝剂的简易设施实施自动化改造，取缔直接向烟道内喷洒脱硫脱硝剂等敷衍式治理工艺。2024年10月底前完成排查工作，对于能立行立改的问题，督促企业抓紧整改到位；确需一定整改周期，明确提升改造措施和时限，未按时完成提升改造的纳入秋冬季生产调控范围。</w:t>
                  </w:r>
                </w:p>
              </w:tc>
              <w:tc>
                <w:tcPr>
                  <w:tcW w:w="2126" w:type="dxa"/>
                  <w:vAlign w:val="center"/>
                </w:tcPr>
                <w:p w14:paraId="2CB746C8">
                  <w:pPr>
                    <w:pStyle w:val="82"/>
                    <w:ind w:firstLine="420"/>
                  </w:pPr>
                  <w:r>
                    <w:rPr>
                      <w:rFonts w:hint="eastAsia"/>
                    </w:rPr>
                    <w:t>本项目熔融挤出工序产生的有机废气经集气罩收集后经工业高压静电油烟净化装置+活性炭吸附/脱附-催化燃烧装置处理后达标排放。</w:t>
                  </w:r>
                </w:p>
              </w:tc>
              <w:tc>
                <w:tcPr>
                  <w:tcW w:w="650" w:type="dxa"/>
                  <w:vAlign w:val="center"/>
                </w:tcPr>
                <w:p w14:paraId="0E23291F">
                  <w:pPr>
                    <w:pStyle w:val="86"/>
                  </w:pPr>
                  <w:r>
                    <w:rPr>
                      <w:rFonts w:hint="eastAsia"/>
                    </w:rPr>
                    <w:t>符合</w:t>
                  </w:r>
                </w:p>
              </w:tc>
            </w:tr>
            <w:tr w14:paraId="3E51BDC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1" w:type="dxa"/>
                  <w:vMerge w:val="continue"/>
                  <w:vAlign w:val="center"/>
                </w:tcPr>
                <w:p w14:paraId="34F70112">
                  <w:pPr>
                    <w:pStyle w:val="86"/>
                  </w:pPr>
                </w:p>
              </w:tc>
              <w:tc>
                <w:tcPr>
                  <w:tcW w:w="3838" w:type="dxa"/>
                  <w:vAlign w:val="center"/>
                </w:tcPr>
                <w:p w14:paraId="02F0DF1E">
                  <w:pPr>
                    <w:pStyle w:val="82"/>
                    <w:ind w:firstLine="420"/>
                  </w:pPr>
                  <w:r>
                    <w:rPr>
                      <w:rFonts w:hint="eastAsia"/>
                    </w:rPr>
                    <w:t>12.实施挥发性有机物综合治理。按照“可替尽替、应代尽代”的原则，加快推进低VOCs含量原辅材料替代；加强VOCs全流程综合治理，加大蓄热式氧化燃烧（RTO）、蓄热式催化燃烧（RCO）、催化燃烧（CO）、沸石转轮吸附浓缩等高效治理技术推广力度；对企业含VOCs有机废水储罐、装置区集水井（池）实施有机废气收集密闭化改造；对企业活性炭装填量、更换周期实施编码登记，实现从购买、更换到处置的全过程可回溯管理；对污水处理设施排放的高浓度有机废气实施单独收集处理；具备改造条件的挥发性有机液体储罐改用低泄漏的储罐呼吸阀、紧急泄压阀，汽车罐车改用自封式快速接头；加强火炬燃烧装置监管，火炬系统、煤气放散管安装温度监控、废气流量计、助燃气体流量计，相关数据接入DCS系统；按规定开展VOCs泄漏检测与修复，石化、化工行业企业集中的城市和重点工业园区建立统一的泄漏检测与修复信息管理平台。2024年5月底前，各省辖市排查建立挥发性有机物综合治理清单台账；2024年年底前，完成治理任务，全面提升企业VOCs治理水平。</w:t>
                  </w:r>
                </w:p>
              </w:tc>
              <w:tc>
                <w:tcPr>
                  <w:tcW w:w="2126" w:type="dxa"/>
                  <w:vAlign w:val="center"/>
                </w:tcPr>
                <w:p w14:paraId="6DAC31A0">
                  <w:pPr>
                    <w:pStyle w:val="82"/>
                    <w:ind w:firstLine="420"/>
                  </w:pPr>
                  <w:r>
                    <w:rPr>
                      <w:rFonts w:hint="eastAsia"/>
                    </w:rPr>
                    <w:t>本项目为再生塑料颗粒加工项目，不使用含VOCs原辅材料，熔融挤出工序产生的有机废气经集气罩收集后经工业高压静电油烟净化装置+活性炭吸附/脱附-催化燃烧装置处理后达标排放。</w:t>
                  </w:r>
                </w:p>
              </w:tc>
              <w:tc>
                <w:tcPr>
                  <w:tcW w:w="650" w:type="dxa"/>
                  <w:vAlign w:val="center"/>
                </w:tcPr>
                <w:p w14:paraId="01F8BC05">
                  <w:pPr>
                    <w:pStyle w:val="86"/>
                  </w:pPr>
                  <w:r>
                    <w:rPr>
                      <w:rFonts w:hint="eastAsia"/>
                    </w:rPr>
                    <w:t>符合</w:t>
                  </w:r>
                </w:p>
              </w:tc>
            </w:tr>
            <w:tr w14:paraId="69A8A4B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1" w:type="dxa"/>
                  <w:vAlign w:val="center"/>
                </w:tcPr>
                <w:p w14:paraId="2A0FE5B4">
                  <w:pPr>
                    <w:pStyle w:val="86"/>
                  </w:pPr>
                  <w:r>
                    <w:rPr>
                      <w:rFonts w:hint="eastAsia"/>
                    </w:rPr>
                    <w:t>（五）重污染天气联合应对行动</w:t>
                  </w:r>
                </w:p>
              </w:tc>
              <w:tc>
                <w:tcPr>
                  <w:tcW w:w="3838" w:type="dxa"/>
                  <w:vAlign w:val="center"/>
                </w:tcPr>
                <w:p w14:paraId="3EEBF6E5">
                  <w:pPr>
                    <w:pStyle w:val="82"/>
                    <w:ind w:firstLine="420"/>
                  </w:pPr>
                  <w:r>
                    <w:rPr>
                      <w:rFonts w:hint="eastAsia"/>
                    </w:rPr>
                    <w:t>25.开展环境绩效等级提升行动。修订重点行业绩效分级管理实施细则，建立“有进有出”动态调整机制，分行业分类别建立绩效提升企业名单，推动钢铁、水泥、焦化、化工、铸造、耐材、工业涂装、包装印刷等重点行业环保绩效创A，全力帮扶重点行业企业对照行业先进水平实施生产和治理工艺装备提升改造，不断提升环境绩效等级。2024年5月底前，各省辖市建立绩效提升培育企业清单，力争全省年度新增A级、B级企业及绩效引领性企业600家以上，推动全省工业企业治理能力整体提升。</w:t>
                  </w:r>
                </w:p>
              </w:tc>
              <w:tc>
                <w:tcPr>
                  <w:tcW w:w="2126" w:type="dxa"/>
                  <w:vAlign w:val="center"/>
                </w:tcPr>
                <w:p w14:paraId="7D6B741F">
                  <w:pPr>
                    <w:pStyle w:val="82"/>
                    <w:ind w:firstLine="420"/>
                  </w:pPr>
                  <w:r>
                    <w:rPr>
                      <w:rFonts w:hint="eastAsia"/>
                    </w:rPr>
                    <w:t>本项目按照《河南省重污染天气重点行业应急减排措施制定技术指南（2024年修订版）》塑料制品行业A级企业分级指标要求进行建设。</w:t>
                  </w:r>
                </w:p>
              </w:tc>
              <w:tc>
                <w:tcPr>
                  <w:tcW w:w="650" w:type="dxa"/>
                  <w:vAlign w:val="center"/>
                </w:tcPr>
                <w:p w14:paraId="1E52CDAA">
                  <w:pPr>
                    <w:pStyle w:val="86"/>
                  </w:pPr>
                  <w:r>
                    <w:rPr>
                      <w:rFonts w:hint="eastAsia"/>
                    </w:rPr>
                    <w:t>符合</w:t>
                  </w:r>
                </w:p>
              </w:tc>
            </w:tr>
            <w:tr w14:paraId="3781F31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55" w:type="dxa"/>
                  <w:gridSpan w:val="4"/>
                  <w:vAlign w:val="center"/>
                </w:tcPr>
                <w:p w14:paraId="41F03730">
                  <w:pPr>
                    <w:pStyle w:val="86"/>
                    <w:rPr>
                      <w:b/>
                      <w:bCs w:val="0"/>
                    </w:rPr>
                  </w:pPr>
                  <w:r>
                    <w:rPr>
                      <w:rFonts w:hint="eastAsia"/>
                      <w:b/>
                      <w:bCs w:val="0"/>
                    </w:rPr>
                    <w:t>河南省2024年碧水保卫战实施方案</w:t>
                  </w:r>
                </w:p>
              </w:tc>
            </w:tr>
            <w:tr w14:paraId="195CB06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1" w:type="dxa"/>
                  <w:vAlign w:val="center"/>
                </w:tcPr>
                <w:p w14:paraId="05C4A00F">
                  <w:pPr>
                    <w:pStyle w:val="86"/>
                  </w:pPr>
                  <w:r>
                    <w:rPr>
                      <w:rFonts w:hint="eastAsia"/>
                    </w:rPr>
                    <w:t>（六）扎实推进入河排污口排查整治</w:t>
                  </w:r>
                </w:p>
              </w:tc>
              <w:tc>
                <w:tcPr>
                  <w:tcW w:w="3838" w:type="dxa"/>
                  <w:vAlign w:val="center"/>
                </w:tcPr>
                <w:p w14:paraId="633D182B">
                  <w:pPr>
                    <w:pStyle w:val="82"/>
                    <w:ind w:firstLine="420"/>
                  </w:pPr>
                  <w:r>
                    <w:rPr>
                      <w:rFonts w:hint="eastAsia"/>
                    </w:rPr>
                    <w:t>19.持续开展入河排污口排查。按照“有口皆查、应查尽查”的原则，巩固提升全省主要河流和重点湖库入河排污口排查成果，梯次推进全省入河排污口排查，进一步摸清掌握各排污口的分布及数量、污水排放特征及去向、排污单位基本情况等信息。到2024年年底，基本完成全省各流域河湖水体入河排污口排查。</w:t>
                  </w:r>
                </w:p>
              </w:tc>
              <w:tc>
                <w:tcPr>
                  <w:tcW w:w="2126" w:type="dxa"/>
                  <w:vAlign w:val="center"/>
                </w:tcPr>
                <w:p w14:paraId="39D516B8">
                  <w:pPr>
                    <w:pStyle w:val="82"/>
                    <w:ind w:firstLine="420"/>
                  </w:pPr>
                  <w:r>
                    <w:rPr>
                      <w:rFonts w:hint="eastAsia"/>
                    </w:rPr>
                    <w:t>本项目清洗废水经一体化污水处理站处理后部分回用于清洗工序，其余部分和经化粪池处理后的生活污水一起经管网排入获嘉县香山家园污水处理厂进一步处理，不涉及入河排污口。</w:t>
                  </w:r>
                </w:p>
              </w:tc>
              <w:tc>
                <w:tcPr>
                  <w:tcW w:w="650" w:type="dxa"/>
                  <w:vAlign w:val="center"/>
                </w:tcPr>
                <w:p w14:paraId="3ED5564D">
                  <w:pPr>
                    <w:pStyle w:val="86"/>
                  </w:pPr>
                  <w:r>
                    <w:rPr>
                      <w:rFonts w:hint="eastAsia"/>
                    </w:rPr>
                    <w:t>符合</w:t>
                  </w:r>
                </w:p>
              </w:tc>
            </w:tr>
            <w:tr w14:paraId="5701027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1" w:type="dxa"/>
                  <w:vAlign w:val="center"/>
                </w:tcPr>
                <w:p w14:paraId="5626BF50">
                  <w:pPr>
                    <w:pStyle w:val="86"/>
                  </w:pPr>
                  <w:r>
                    <w:rPr>
                      <w:rFonts w:hint="eastAsia"/>
                    </w:rPr>
                    <w:t>（七）持续提升污水资源化利用水平</w:t>
                  </w:r>
                </w:p>
              </w:tc>
              <w:tc>
                <w:tcPr>
                  <w:tcW w:w="3838" w:type="dxa"/>
                  <w:vAlign w:val="center"/>
                </w:tcPr>
                <w:p w14:paraId="27863303">
                  <w:pPr>
                    <w:pStyle w:val="82"/>
                    <w:ind w:firstLine="420"/>
                  </w:pPr>
                  <w:r>
                    <w:rPr>
                      <w:rFonts w:hint="eastAsia"/>
                    </w:rPr>
                    <w:t>24.持续开展工业废水循环利用工程。推动工业企业、园区废水循环利用，实现串联用水、分质用水、一水多用和梯级利用，提升企业水重复利用率。推动有条件的工业企业、园区进一步完善再生水管网，将处理达标后的再生水回用于生产过程，减少企业新水取用量，形成可复制推广的产城融合废水高效循环利用新模式。重点围绕火电、石化、钢铁、有色、造纸、印染等高耗水行业，组织开展企业内部废水利用，创建一批工业废水循环利用试点企业、园区。</w:t>
                  </w:r>
                </w:p>
              </w:tc>
              <w:tc>
                <w:tcPr>
                  <w:tcW w:w="2126" w:type="dxa"/>
                  <w:vAlign w:val="center"/>
                </w:tcPr>
                <w:p w14:paraId="625FB07C">
                  <w:pPr>
                    <w:pStyle w:val="82"/>
                    <w:ind w:firstLine="420"/>
                  </w:pPr>
                  <w:r>
                    <w:rPr>
                      <w:rFonts w:hint="eastAsia"/>
                    </w:rPr>
                    <w:t>本项目清洗废水经一体化污水处理站处理后部分回用于清洗工序，提升企业水重复利用率。</w:t>
                  </w:r>
                </w:p>
              </w:tc>
              <w:tc>
                <w:tcPr>
                  <w:tcW w:w="650" w:type="dxa"/>
                  <w:vAlign w:val="center"/>
                </w:tcPr>
                <w:p w14:paraId="0C02804F">
                  <w:pPr>
                    <w:pStyle w:val="86"/>
                  </w:pPr>
                  <w:r>
                    <w:rPr>
                      <w:rFonts w:hint="eastAsia"/>
                    </w:rPr>
                    <w:t>符合</w:t>
                  </w:r>
                </w:p>
              </w:tc>
            </w:tr>
            <w:tr w14:paraId="74370FE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55" w:type="dxa"/>
                  <w:gridSpan w:val="4"/>
                  <w:vAlign w:val="center"/>
                </w:tcPr>
                <w:p w14:paraId="23D31771">
                  <w:pPr>
                    <w:pStyle w:val="86"/>
                    <w:rPr>
                      <w:b/>
                      <w:bCs w:val="0"/>
                    </w:rPr>
                  </w:pPr>
                  <w:r>
                    <w:rPr>
                      <w:rFonts w:hint="eastAsia"/>
                      <w:b/>
                      <w:bCs w:val="0"/>
                    </w:rPr>
                    <w:t>河南省2024年净土保卫战实施方案</w:t>
                  </w:r>
                </w:p>
              </w:tc>
            </w:tr>
            <w:tr w14:paraId="2AA6A82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1" w:type="dxa"/>
                  <w:vAlign w:val="center"/>
                </w:tcPr>
                <w:p w14:paraId="7F693607">
                  <w:pPr>
                    <w:pStyle w:val="86"/>
                  </w:pPr>
                  <w:r>
                    <w:rPr>
                      <w:rFonts w:hint="eastAsia"/>
                    </w:rPr>
                    <w:t>（四）加强固体废物综合治理和新污染物治理</w:t>
                  </w:r>
                </w:p>
              </w:tc>
              <w:tc>
                <w:tcPr>
                  <w:tcW w:w="3838" w:type="dxa"/>
                  <w:vAlign w:val="center"/>
                </w:tcPr>
                <w:p w14:paraId="024A9E29">
                  <w:pPr>
                    <w:pStyle w:val="82"/>
                    <w:ind w:firstLine="420"/>
                  </w:pPr>
                  <w:r>
                    <w:rPr>
                      <w:rFonts w:hint="eastAsia"/>
                    </w:rPr>
                    <w:t>16.深化危险废物监管和利用处置能力改革。持续创新危险废物环境监管方式，建立综合处置企业行业自律机制、特殊类别危险废物的信息通报机制，制定河南省危险废物综合处置高质量发展指导意见。选取“3+10”个危险废物利用、处置企业作为省级危废重点示范工程，引领全省危险废物利用处置行业高质量发展。提升危险废物规范化管理水平，实施危险废物规范化环境管理评估。开展危险废物自行利用处置专项整治行动。加强废弃电器电子产品拆解监管。</w:t>
                  </w:r>
                </w:p>
              </w:tc>
              <w:tc>
                <w:tcPr>
                  <w:tcW w:w="2126" w:type="dxa"/>
                  <w:vAlign w:val="center"/>
                </w:tcPr>
                <w:p w14:paraId="03A248DD">
                  <w:pPr>
                    <w:pStyle w:val="82"/>
                    <w:ind w:firstLine="420"/>
                  </w:pPr>
                  <w:r>
                    <w:rPr>
                      <w:rFonts w:hint="eastAsia"/>
                    </w:rPr>
                    <w:t>本项目一般固废在一般固废间存放后合理处置；危险废物在危废暂存间暂存，由有资质的单位定期收集处置。</w:t>
                  </w:r>
                </w:p>
              </w:tc>
              <w:tc>
                <w:tcPr>
                  <w:tcW w:w="650" w:type="dxa"/>
                  <w:vAlign w:val="center"/>
                </w:tcPr>
                <w:p w14:paraId="03D20216">
                  <w:pPr>
                    <w:pStyle w:val="86"/>
                  </w:pPr>
                  <w:r>
                    <w:rPr>
                      <w:rFonts w:hint="eastAsia"/>
                    </w:rPr>
                    <w:t>符合</w:t>
                  </w:r>
                </w:p>
              </w:tc>
            </w:tr>
            <w:tr w14:paraId="713DC87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55" w:type="dxa"/>
                  <w:gridSpan w:val="4"/>
                  <w:vAlign w:val="center"/>
                </w:tcPr>
                <w:p w14:paraId="302E09E1">
                  <w:pPr>
                    <w:pStyle w:val="86"/>
                    <w:rPr>
                      <w:b/>
                      <w:bCs w:val="0"/>
                    </w:rPr>
                  </w:pPr>
                  <w:r>
                    <w:rPr>
                      <w:rFonts w:hint="eastAsia"/>
                      <w:b/>
                      <w:bCs w:val="0"/>
                    </w:rPr>
                    <w:t>河南省2024年柴油货车污染治理攻坚战实施方案</w:t>
                  </w:r>
                </w:p>
              </w:tc>
            </w:tr>
            <w:tr w14:paraId="0CC92B6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41" w:type="dxa"/>
                  <w:vAlign w:val="center"/>
                </w:tcPr>
                <w:p w14:paraId="6547CA03">
                  <w:pPr>
                    <w:pStyle w:val="86"/>
                  </w:pPr>
                  <w:r>
                    <w:rPr>
                      <w:rFonts w:hint="eastAsia"/>
                    </w:rPr>
                    <w:t>（一）优化调整交通运输结构</w:t>
                  </w:r>
                </w:p>
              </w:tc>
              <w:tc>
                <w:tcPr>
                  <w:tcW w:w="3838" w:type="dxa"/>
                  <w:vAlign w:val="center"/>
                </w:tcPr>
                <w:p w14:paraId="0E1DCE67">
                  <w:pPr>
                    <w:pStyle w:val="82"/>
                    <w:ind w:firstLine="420"/>
                  </w:pPr>
                  <w:r>
                    <w:rPr>
                      <w:rFonts w:hint="eastAsia"/>
                    </w:rPr>
                    <w:t>4.淘汰老旧车辆。各省辖市（含济源示范区、航空港区，下同）制定老旧车辆淘汰目标及实施计划，加快淘汰国三及以下排放标准汽车和国四柴油、燃气汽车。严格执行机动车强制报废标准规定，符合强制报废情形的交报废机动车回收企业按规定回收拆解。</w:t>
                  </w:r>
                </w:p>
              </w:tc>
              <w:tc>
                <w:tcPr>
                  <w:tcW w:w="2126" w:type="dxa"/>
                  <w:vAlign w:val="center"/>
                </w:tcPr>
                <w:p w14:paraId="2883FBD1">
                  <w:pPr>
                    <w:pStyle w:val="82"/>
                    <w:ind w:firstLine="420"/>
                  </w:pPr>
                  <w:r>
                    <w:rPr>
                      <w:rFonts w:hint="eastAsia"/>
                      <w:snapToGrid w:val="0"/>
                    </w:rPr>
                    <w:t>本项目建成后</w:t>
                  </w:r>
                  <w:r>
                    <w:rPr>
                      <w:rFonts w:hint="eastAsia"/>
                      <w:color w:val="000000" w:themeColor="text1"/>
                      <w14:textFill>
                        <w14:solidFill>
                          <w14:schemeClr w14:val="tx1"/>
                        </w14:solidFill>
                      </w14:textFill>
                    </w:rPr>
                    <w:t>物料公路运输全部使用达到国五及以上排放标准重型载货车辆（含燃气）或新能源车辆；厂内运输车辆全部达到国五及以上排放标准（含燃气）或使用新能源车辆；厂内非道路移动机械全部达到国三及以上排放标准或使用新能源机械</w:t>
                  </w:r>
                  <w:r>
                    <w:rPr>
                      <w:rFonts w:hint="eastAsia"/>
                      <w:snapToGrid w:val="0"/>
                    </w:rPr>
                    <w:t>。</w:t>
                  </w:r>
                  <w:r>
                    <w:rPr>
                      <w:rFonts w:hint="eastAsia"/>
                    </w:rPr>
                    <w:t>不使用国三及以下排放标准汽车和国四柴油、燃气汽车。</w:t>
                  </w:r>
                </w:p>
              </w:tc>
              <w:tc>
                <w:tcPr>
                  <w:tcW w:w="650" w:type="dxa"/>
                  <w:vAlign w:val="center"/>
                </w:tcPr>
                <w:p w14:paraId="6A6055D1">
                  <w:pPr>
                    <w:pStyle w:val="86"/>
                  </w:pPr>
                  <w:r>
                    <w:rPr>
                      <w:rFonts w:hint="eastAsia"/>
                    </w:rPr>
                    <w:t>符合</w:t>
                  </w:r>
                </w:p>
              </w:tc>
            </w:tr>
          </w:tbl>
          <w:p w14:paraId="1BD10F97">
            <w:pPr>
              <w:pStyle w:val="28"/>
              <w:ind w:firstLine="480"/>
              <w:rPr>
                <w:rFonts w:eastAsia="黑体"/>
              </w:rPr>
            </w:pPr>
            <w:r>
              <w:rPr>
                <w:rFonts w:hint="eastAsia"/>
              </w:rPr>
              <w:t>由上表可知，本项目符合《通知》相关要求。</w:t>
            </w:r>
          </w:p>
          <w:p w14:paraId="510CA9B7">
            <w:pPr>
              <w:pStyle w:val="28"/>
              <w:ind w:firstLine="480"/>
            </w:pPr>
            <w:r>
              <w:rPr>
                <w:rFonts w:hint="eastAsia"/>
              </w:rPr>
              <w:t>（3）本项目与《新乡市推动生态环境质量稳定向好三年行动计划（2023年—2025年）》（以下简称《三年行动计划》）对比分析</w:t>
            </w:r>
          </w:p>
          <w:p w14:paraId="4236B571">
            <w:pPr>
              <w:spacing w:line="460" w:lineRule="exact"/>
              <w:ind w:firstLine="480" w:firstLineChars="200"/>
              <w:rPr>
                <w:color w:val="000000"/>
                <w:sz w:val="24"/>
              </w:rPr>
            </w:pPr>
            <w:r>
              <w:rPr>
                <w:rFonts w:hint="eastAsia" w:ascii="宋体" w:hAnsi="宋体"/>
                <w:color w:val="000000"/>
                <w:sz w:val="24"/>
              </w:rPr>
              <w:t>分析情况见下表：</w:t>
            </w:r>
          </w:p>
          <w:p w14:paraId="47DB8D09">
            <w:pPr>
              <w:pStyle w:val="67"/>
              <w:ind w:firstLine="480"/>
            </w:pPr>
            <w:r>
              <w:t xml:space="preserve">        与《</w:t>
            </w:r>
            <w:r>
              <w:rPr>
                <w:rFonts w:hint="eastAsia"/>
              </w:rPr>
              <w:t>三年行动计划</w:t>
            </w:r>
            <w:r>
              <w:t>》对比表</w:t>
            </w:r>
          </w:p>
          <w:tbl>
            <w:tblPr>
              <w:tblStyle w:val="21"/>
              <w:tblW w:w="765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3694"/>
              <w:gridCol w:w="2401"/>
              <w:gridCol w:w="661"/>
            </w:tblGrid>
            <w:tr w14:paraId="43EDF3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3" w:type="dxa"/>
                  <w:gridSpan w:val="2"/>
                  <w:vAlign w:val="center"/>
                </w:tcPr>
                <w:p w14:paraId="4CBE7C11">
                  <w:pPr>
                    <w:pStyle w:val="86"/>
                    <w:rPr>
                      <w:b/>
                      <w:bCs w:val="0"/>
                    </w:rPr>
                  </w:pPr>
                  <w:r>
                    <w:rPr>
                      <w:b/>
                      <w:bCs w:val="0"/>
                    </w:rPr>
                    <w:t>与本项目相关条文</w:t>
                  </w:r>
                </w:p>
              </w:tc>
              <w:tc>
                <w:tcPr>
                  <w:tcW w:w="2401" w:type="dxa"/>
                  <w:vAlign w:val="center"/>
                </w:tcPr>
                <w:p w14:paraId="42AA844C">
                  <w:pPr>
                    <w:pStyle w:val="86"/>
                    <w:rPr>
                      <w:b/>
                      <w:bCs w:val="0"/>
                    </w:rPr>
                  </w:pPr>
                  <w:r>
                    <w:rPr>
                      <w:b/>
                      <w:bCs w:val="0"/>
                    </w:rPr>
                    <w:t>本项目情况</w:t>
                  </w:r>
                </w:p>
              </w:tc>
              <w:tc>
                <w:tcPr>
                  <w:tcW w:w="661" w:type="dxa"/>
                  <w:vAlign w:val="center"/>
                </w:tcPr>
                <w:p w14:paraId="22A23592">
                  <w:pPr>
                    <w:pStyle w:val="86"/>
                    <w:rPr>
                      <w:b/>
                      <w:bCs w:val="0"/>
                    </w:rPr>
                  </w:pPr>
                  <w:r>
                    <w:rPr>
                      <w:b/>
                      <w:bCs w:val="0"/>
                    </w:rPr>
                    <w:t>对比结果</w:t>
                  </w:r>
                </w:p>
              </w:tc>
            </w:tr>
            <w:tr w14:paraId="1C0B94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dxa"/>
                  <w:vAlign w:val="center"/>
                </w:tcPr>
                <w:p w14:paraId="1A9D0728">
                  <w:pPr>
                    <w:pStyle w:val="86"/>
                  </w:pPr>
                  <w:r>
                    <w:rPr>
                      <w:rFonts w:hint="eastAsia"/>
                    </w:rPr>
                    <w:t>（四）工业行业升级改造行动</w:t>
                  </w:r>
                </w:p>
              </w:tc>
              <w:tc>
                <w:tcPr>
                  <w:tcW w:w="3694" w:type="dxa"/>
                  <w:vAlign w:val="center"/>
                </w:tcPr>
                <w:p w14:paraId="15284600">
                  <w:pPr>
                    <w:pStyle w:val="82"/>
                    <w:ind w:firstLine="0" w:firstLineChars="0"/>
                  </w:pPr>
                  <w:r>
                    <w:rPr>
                      <w:rFonts w:hint="eastAsia"/>
                    </w:rPr>
                    <w:t>10.加快淘汰落后低效产能。落实国家《产业结构调整指导目录》，按照《河南省淘汰落后产能综合标准体系》最新修订本，严格执行质量、环保、能耗、安全等法规标准，依法依规淘汰大气污染物排放强度高、治理难度大以及产能过剩行业的工艺和装备，实施落后产能“动态清零”。坚决遏制“两高”项目盲目发展。（市工信局、发改委、生态环境局按职责分工负责，各县〔市、区〕政府、管委会负责落实）</w:t>
                  </w:r>
                </w:p>
              </w:tc>
              <w:tc>
                <w:tcPr>
                  <w:tcW w:w="2401" w:type="dxa"/>
                  <w:vAlign w:val="center"/>
                </w:tcPr>
                <w:p w14:paraId="451237E1">
                  <w:pPr>
                    <w:pStyle w:val="82"/>
                    <w:ind w:firstLine="0" w:firstLineChars="0"/>
                  </w:pPr>
                  <w:r>
                    <w:rPr>
                      <w:rFonts w:hint="eastAsia"/>
                    </w:rPr>
                    <w:t>根据《产业结构调整指导目录（2024年本）》，本项目生产规模、生产设备、生产工艺属于“鼓励类”，不属于“淘汰类”；根据《河南省淘汰落后产能综合标准体系（2020年本）》中质量、环保、能耗、安全等法规标准，本项目不属于大气污染物排放强度高、治理难度大以及产能过剩行业的工艺和装备；本项目不属于“两高”项目。</w:t>
                  </w:r>
                </w:p>
              </w:tc>
              <w:tc>
                <w:tcPr>
                  <w:tcW w:w="661" w:type="dxa"/>
                  <w:vAlign w:val="center"/>
                </w:tcPr>
                <w:p w14:paraId="66F69052">
                  <w:pPr>
                    <w:pStyle w:val="86"/>
                  </w:pPr>
                  <w:r>
                    <w:rPr>
                      <w:rFonts w:hint="eastAsia"/>
                    </w:rPr>
                    <w:t>符合</w:t>
                  </w:r>
                </w:p>
              </w:tc>
            </w:tr>
          </w:tbl>
          <w:p w14:paraId="0331316F">
            <w:pPr>
              <w:pStyle w:val="28"/>
              <w:ind w:firstLine="480"/>
            </w:pPr>
            <w:r>
              <w:rPr>
                <w:rFonts w:hint="eastAsia"/>
              </w:rPr>
              <w:t>由上表可知，本项目符合《三年行动计划》相关要求。</w:t>
            </w:r>
          </w:p>
          <w:p w14:paraId="309CEB64">
            <w:pPr>
              <w:pStyle w:val="28"/>
              <w:ind w:firstLine="480"/>
            </w:pPr>
            <w:r>
              <w:rPr>
                <w:rFonts w:hint="eastAsia"/>
              </w:rPr>
              <w:t>（4）与《河南省重污染天气重点行业应急减排措施制定技术指南（2024年修订版）》相符性分析</w:t>
            </w:r>
          </w:p>
          <w:p w14:paraId="66A5A289">
            <w:pPr>
              <w:pStyle w:val="28"/>
              <w:ind w:firstLine="480"/>
              <w:rPr>
                <w:rFonts w:hint="eastAsia"/>
              </w:rPr>
            </w:pPr>
            <w:r>
              <w:rPr>
                <w:rFonts w:hint="eastAsia"/>
              </w:rPr>
              <w:t>根据《河南省重污染天气重点行业应急减排措施制定技术指南（2024年修订版）》（以下称技术指南）中塑料制品A级企业的要求，结合本项目的情况，与本项目拟建设情况的对比情况有：</w:t>
            </w:r>
          </w:p>
          <w:p w14:paraId="6D5FFE8B">
            <w:pPr>
              <w:pStyle w:val="67"/>
              <w:ind w:firstLine="480"/>
            </w:pPr>
            <w:r>
              <w:rPr>
                <w:rFonts w:hint="eastAsia"/>
              </w:rPr>
              <w:t xml:space="preserve">          本项目与《技术指南》对比分析</w:t>
            </w:r>
          </w:p>
          <w:tbl>
            <w:tblPr>
              <w:tblStyle w:val="20"/>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520"/>
              <w:gridCol w:w="3348"/>
              <w:gridCol w:w="2656"/>
              <w:gridCol w:w="793"/>
            </w:tblGrid>
            <w:tr w14:paraId="4B9486F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000000" w:sz="8" w:space="0"/>
                    <w:left w:val="nil"/>
                    <w:bottom w:val="single" w:color="auto" w:sz="4" w:space="0"/>
                    <w:right w:val="nil"/>
                  </w:tcBorders>
                  <w:vAlign w:val="center"/>
                </w:tcPr>
                <w:p w14:paraId="63303600">
                  <w:pPr>
                    <w:pStyle w:val="123"/>
                    <w:rPr>
                      <w:b/>
                    </w:rPr>
                  </w:pPr>
                  <w:r>
                    <w:rPr>
                      <w:rFonts w:hint="eastAsia" w:ascii="宋体" w:hAnsi="宋体"/>
                      <w:b/>
                    </w:rPr>
                    <w:t>塑料制品企业绩效分级指标</w:t>
                  </w:r>
                </w:p>
              </w:tc>
            </w:tr>
            <w:tr w14:paraId="5A0B96C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9" w:type="pct"/>
                  <w:gridSpan w:val="3"/>
                  <w:tcBorders>
                    <w:top w:val="single" w:color="auto" w:sz="4" w:space="0"/>
                    <w:left w:val="nil"/>
                    <w:bottom w:val="single" w:color="auto" w:sz="4" w:space="0"/>
                    <w:right w:val="single" w:color="auto" w:sz="4" w:space="0"/>
                  </w:tcBorders>
                  <w:vAlign w:val="center"/>
                </w:tcPr>
                <w:p w14:paraId="1C0AEAA8">
                  <w:pPr>
                    <w:pStyle w:val="123"/>
                    <w:rPr>
                      <w:b/>
                      <w:bCs w:val="0"/>
                    </w:rPr>
                  </w:pPr>
                  <w:r>
                    <w:rPr>
                      <w:b/>
                      <w:bCs w:val="0"/>
                    </w:rPr>
                    <w:t>A</w:t>
                  </w:r>
                  <w:r>
                    <w:rPr>
                      <w:rFonts w:hint="eastAsia" w:ascii="宋体" w:hAnsi="宋体"/>
                      <w:b/>
                      <w:bCs w:val="0"/>
                    </w:rPr>
                    <w:t>级企业</w:t>
                  </w:r>
                </w:p>
              </w:tc>
              <w:tc>
                <w:tcPr>
                  <w:tcW w:w="1695" w:type="pct"/>
                  <w:tcBorders>
                    <w:top w:val="single" w:color="auto" w:sz="4" w:space="0"/>
                    <w:left w:val="single" w:color="auto" w:sz="4" w:space="0"/>
                    <w:bottom w:val="single" w:color="auto" w:sz="4" w:space="0"/>
                    <w:right w:val="single" w:color="auto" w:sz="4" w:space="0"/>
                  </w:tcBorders>
                  <w:vAlign w:val="center"/>
                </w:tcPr>
                <w:p w14:paraId="69D8ED98">
                  <w:pPr>
                    <w:pStyle w:val="123"/>
                    <w:rPr>
                      <w:b/>
                      <w:bCs w:val="0"/>
                    </w:rPr>
                  </w:pPr>
                  <w:r>
                    <w:rPr>
                      <w:rFonts w:hint="eastAsia" w:ascii="宋体" w:hAnsi="宋体"/>
                      <w:b/>
                      <w:bCs w:val="0"/>
                    </w:rPr>
                    <w:t>本项目拟建设情况</w:t>
                  </w:r>
                </w:p>
              </w:tc>
              <w:tc>
                <w:tcPr>
                  <w:tcW w:w="505" w:type="pct"/>
                  <w:tcBorders>
                    <w:top w:val="single" w:color="auto" w:sz="4" w:space="0"/>
                    <w:left w:val="single" w:color="auto" w:sz="4" w:space="0"/>
                    <w:bottom w:val="single" w:color="auto" w:sz="4" w:space="0"/>
                    <w:right w:val="nil"/>
                  </w:tcBorders>
                  <w:vAlign w:val="center"/>
                </w:tcPr>
                <w:p w14:paraId="421FD3C2">
                  <w:pPr>
                    <w:pStyle w:val="123"/>
                    <w:rPr>
                      <w:b/>
                      <w:bCs w:val="0"/>
                    </w:rPr>
                  </w:pPr>
                  <w:r>
                    <w:rPr>
                      <w:rFonts w:hint="eastAsia" w:ascii="宋体" w:hAnsi="宋体"/>
                      <w:b/>
                      <w:bCs w:val="0"/>
                    </w:rPr>
                    <w:t>对比结果</w:t>
                  </w:r>
                </w:p>
              </w:tc>
            </w:tr>
            <w:tr w14:paraId="6EB0D8C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tcBorders>
                    <w:top w:val="single" w:color="auto" w:sz="4" w:space="0"/>
                    <w:left w:val="nil"/>
                    <w:bottom w:val="single" w:color="auto" w:sz="4" w:space="0"/>
                    <w:right w:val="single" w:color="auto" w:sz="4" w:space="0"/>
                  </w:tcBorders>
                  <w:vAlign w:val="center"/>
                </w:tcPr>
                <w:p w14:paraId="09A39627">
                  <w:pPr>
                    <w:pStyle w:val="123"/>
                  </w:pPr>
                  <w:r>
                    <w:rPr>
                      <w:rFonts w:hint="eastAsia" w:ascii="宋体" w:hAnsi="宋体"/>
                    </w:rPr>
                    <w:t>能源类型</w:t>
                  </w:r>
                </w:p>
              </w:tc>
              <w:tc>
                <w:tcPr>
                  <w:tcW w:w="2136" w:type="pct"/>
                  <w:tcBorders>
                    <w:top w:val="single" w:color="auto" w:sz="4" w:space="0"/>
                    <w:left w:val="single" w:color="auto" w:sz="4" w:space="0"/>
                    <w:bottom w:val="single" w:color="auto" w:sz="4" w:space="0"/>
                    <w:right w:val="single" w:color="auto" w:sz="4" w:space="0"/>
                  </w:tcBorders>
                  <w:vAlign w:val="center"/>
                </w:tcPr>
                <w:p w14:paraId="63C40B71">
                  <w:pPr>
                    <w:pStyle w:val="124"/>
                    <w:ind w:firstLine="420"/>
                  </w:pPr>
                  <w:r>
                    <w:rPr>
                      <w:rFonts w:ascii="宋体" w:hAnsi="宋体"/>
                    </w:rPr>
                    <w:t>能源使用电、天然气、液化石油气等能源。</w:t>
                  </w:r>
                </w:p>
              </w:tc>
              <w:tc>
                <w:tcPr>
                  <w:tcW w:w="1695" w:type="pct"/>
                  <w:tcBorders>
                    <w:top w:val="single" w:color="auto" w:sz="4" w:space="0"/>
                    <w:left w:val="single" w:color="auto" w:sz="4" w:space="0"/>
                    <w:bottom w:val="single" w:color="auto" w:sz="4" w:space="0"/>
                    <w:right w:val="single" w:color="auto" w:sz="4" w:space="0"/>
                  </w:tcBorders>
                  <w:vAlign w:val="center"/>
                </w:tcPr>
                <w:p w14:paraId="72F7CD82">
                  <w:pPr>
                    <w:pStyle w:val="123"/>
                  </w:pPr>
                  <w:r>
                    <w:rPr>
                      <w:rFonts w:hint="eastAsia" w:ascii="宋体" w:hAnsi="宋体"/>
                    </w:rPr>
                    <w:t>本项目使用电为能源。</w:t>
                  </w:r>
                </w:p>
              </w:tc>
              <w:tc>
                <w:tcPr>
                  <w:tcW w:w="505" w:type="pct"/>
                  <w:tcBorders>
                    <w:top w:val="single" w:color="auto" w:sz="4" w:space="0"/>
                    <w:left w:val="single" w:color="auto" w:sz="4" w:space="0"/>
                    <w:bottom w:val="single" w:color="auto" w:sz="4" w:space="0"/>
                    <w:right w:val="nil"/>
                  </w:tcBorders>
                  <w:vAlign w:val="center"/>
                </w:tcPr>
                <w:p w14:paraId="2793DDCD">
                  <w:pPr>
                    <w:pStyle w:val="123"/>
                  </w:pPr>
                  <w:r>
                    <w:rPr>
                      <w:rFonts w:hint="eastAsia" w:ascii="宋体" w:hAnsi="宋体"/>
                    </w:rPr>
                    <w:t>符合</w:t>
                  </w:r>
                </w:p>
              </w:tc>
            </w:tr>
            <w:tr w14:paraId="7AF0DB3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restart"/>
                  <w:tcBorders>
                    <w:top w:val="single" w:color="auto" w:sz="4" w:space="0"/>
                    <w:left w:val="nil"/>
                    <w:bottom w:val="single" w:color="auto" w:sz="4" w:space="0"/>
                    <w:right w:val="single" w:color="auto" w:sz="4" w:space="0"/>
                  </w:tcBorders>
                  <w:vAlign w:val="center"/>
                </w:tcPr>
                <w:p w14:paraId="1178A222">
                  <w:pPr>
                    <w:pStyle w:val="123"/>
                    <w:rPr>
                      <w:rFonts w:hint="eastAsia"/>
                    </w:rPr>
                  </w:pPr>
                  <w:r>
                    <w:rPr>
                      <w:rFonts w:hint="eastAsia" w:ascii="宋体" w:hAnsi="宋体"/>
                    </w:rPr>
                    <w:t>生产工艺及装备水平</w:t>
                  </w:r>
                </w:p>
              </w:tc>
              <w:tc>
                <w:tcPr>
                  <w:tcW w:w="2136" w:type="pct"/>
                  <w:tcBorders>
                    <w:top w:val="single" w:color="auto" w:sz="4" w:space="0"/>
                    <w:left w:val="single" w:color="auto" w:sz="4" w:space="0"/>
                    <w:bottom w:val="single" w:color="auto" w:sz="4" w:space="0"/>
                    <w:right w:val="single" w:color="auto" w:sz="4" w:space="0"/>
                  </w:tcBorders>
                  <w:vAlign w:val="center"/>
                </w:tcPr>
                <w:p w14:paraId="5BF0BE67">
                  <w:pPr>
                    <w:pStyle w:val="124"/>
                    <w:ind w:firstLine="420"/>
                    <w:rPr>
                      <w:rFonts w:hint="eastAsia"/>
                    </w:rPr>
                  </w:pPr>
                  <w:r>
                    <w:t>1.</w:t>
                  </w:r>
                  <w:r>
                    <w:rPr>
                      <w:rFonts w:ascii="宋体" w:hAnsi="宋体"/>
                    </w:rPr>
                    <w:t>属于《产业结构调整指导目录（</w:t>
                  </w:r>
                  <w:r>
                    <w:t xml:space="preserve">2024 </w:t>
                  </w:r>
                  <w:r>
                    <w:rPr>
                      <w:rFonts w:ascii="宋体" w:hAnsi="宋体"/>
                    </w:rPr>
                    <w:t>年版）》鼓励类和允许类；</w:t>
                  </w:r>
                </w:p>
              </w:tc>
              <w:tc>
                <w:tcPr>
                  <w:tcW w:w="1695" w:type="pct"/>
                  <w:tcBorders>
                    <w:top w:val="single" w:color="auto" w:sz="4" w:space="0"/>
                    <w:left w:val="single" w:color="auto" w:sz="4" w:space="0"/>
                    <w:bottom w:val="single" w:color="auto" w:sz="4" w:space="0"/>
                    <w:right w:val="single" w:color="auto" w:sz="4" w:space="0"/>
                  </w:tcBorders>
                  <w:vAlign w:val="center"/>
                </w:tcPr>
                <w:p w14:paraId="3DC55D45">
                  <w:pPr>
                    <w:pStyle w:val="124"/>
                    <w:ind w:firstLine="420"/>
                  </w:pPr>
                  <w:r>
                    <w:rPr>
                      <w:rFonts w:hint="eastAsia"/>
                    </w:rPr>
                    <w:t>1</w:t>
                  </w:r>
                  <w:r>
                    <w:rPr>
                      <w:rFonts w:hint="eastAsia" w:ascii="宋体" w:hAnsi="宋体"/>
                    </w:rPr>
                    <w:t>、本项目属于</w:t>
                  </w:r>
                  <w:r>
                    <w:rPr>
                      <w:rFonts w:ascii="宋体" w:hAnsi="宋体"/>
                    </w:rPr>
                    <w:t>《产业结构调整指导目录（</w:t>
                  </w:r>
                  <w:r>
                    <w:t xml:space="preserve">2024 </w:t>
                  </w:r>
                  <w:r>
                    <w:rPr>
                      <w:rFonts w:ascii="宋体" w:hAnsi="宋体"/>
                    </w:rPr>
                    <w:t>年版）》</w:t>
                  </w:r>
                  <w:r>
                    <w:rPr>
                      <w:rFonts w:hint="eastAsia" w:ascii="宋体" w:hAnsi="宋体"/>
                    </w:rPr>
                    <w:t>鼓励</w:t>
                  </w:r>
                  <w:r>
                    <w:rPr>
                      <w:rFonts w:ascii="宋体" w:hAnsi="宋体"/>
                    </w:rPr>
                    <w:t>类</w:t>
                  </w:r>
                  <w:r>
                    <w:rPr>
                      <w:rFonts w:hint="eastAsia" w:ascii="宋体" w:hAnsi="宋体"/>
                    </w:rPr>
                    <w:t>；</w:t>
                  </w:r>
                </w:p>
              </w:tc>
              <w:tc>
                <w:tcPr>
                  <w:tcW w:w="505" w:type="pct"/>
                  <w:tcBorders>
                    <w:top w:val="single" w:color="auto" w:sz="4" w:space="0"/>
                    <w:left w:val="single" w:color="auto" w:sz="4" w:space="0"/>
                    <w:bottom w:val="single" w:color="auto" w:sz="4" w:space="0"/>
                    <w:right w:val="nil"/>
                  </w:tcBorders>
                  <w:vAlign w:val="center"/>
                </w:tcPr>
                <w:p w14:paraId="5797F077">
                  <w:pPr>
                    <w:pStyle w:val="123"/>
                  </w:pPr>
                  <w:r>
                    <w:rPr>
                      <w:rFonts w:hint="eastAsia" w:ascii="宋体" w:hAnsi="宋体"/>
                    </w:rPr>
                    <w:t>符合</w:t>
                  </w:r>
                </w:p>
              </w:tc>
            </w:tr>
            <w:tr w14:paraId="5954C3A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0517EDCF">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020AE3A9">
                  <w:pPr>
                    <w:pStyle w:val="124"/>
                    <w:ind w:firstLine="420"/>
                    <w:rPr>
                      <w:rFonts w:hint="eastAsia"/>
                    </w:rPr>
                  </w:pPr>
                  <w:r>
                    <w:t>2.</w:t>
                  </w:r>
                  <w:r>
                    <w:rPr>
                      <w:rFonts w:ascii="宋体" w:hAnsi="宋体"/>
                    </w:rPr>
                    <w:t>符合相关行业产业政策；</w:t>
                  </w:r>
                </w:p>
              </w:tc>
              <w:tc>
                <w:tcPr>
                  <w:tcW w:w="1695" w:type="pct"/>
                  <w:tcBorders>
                    <w:top w:val="single" w:color="auto" w:sz="4" w:space="0"/>
                    <w:left w:val="single" w:color="auto" w:sz="4" w:space="0"/>
                    <w:bottom w:val="single" w:color="auto" w:sz="4" w:space="0"/>
                    <w:right w:val="single" w:color="auto" w:sz="4" w:space="0"/>
                  </w:tcBorders>
                  <w:vAlign w:val="center"/>
                </w:tcPr>
                <w:p w14:paraId="76CC8C7A">
                  <w:pPr>
                    <w:pStyle w:val="124"/>
                    <w:ind w:firstLine="420"/>
                  </w:pPr>
                  <w:r>
                    <w:rPr>
                      <w:rFonts w:hint="eastAsia"/>
                    </w:rPr>
                    <w:t>2</w:t>
                  </w:r>
                  <w:r>
                    <w:rPr>
                      <w:rFonts w:hint="eastAsia" w:ascii="宋体" w:hAnsi="宋体"/>
                    </w:rPr>
                    <w:t>、本项目</w:t>
                  </w:r>
                  <w:r>
                    <w:rPr>
                      <w:rFonts w:ascii="宋体" w:hAnsi="宋体"/>
                    </w:rPr>
                    <w:t>符合相关行业产业政策</w:t>
                  </w:r>
                  <w:r>
                    <w:rPr>
                      <w:rFonts w:hint="eastAsia" w:ascii="宋体" w:hAnsi="宋体"/>
                    </w:rPr>
                    <w:t>；</w:t>
                  </w:r>
                </w:p>
              </w:tc>
              <w:tc>
                <w:tcPr>
                  <w:tcW w:w="505" w:type="pct"/>
                  <w:tcBorders>
                    <w:top w:val="single" w:color="auto" w:sz="4" w:space="0"/>
                    <w:left w:val="single" w:color="auto" w:sz="4" w:space="0"/>
                    <w:bottom w:val="single" w:color="auto" w:sz="4" w:space="0"/>
                    <w:right w:val="nil"/>
                  </w:tcBorders>
                  <w:vAlign w:val="center"/>
                </w:tcPr>
                <w:p w14:paraId="20362C78">
                  <w:pPr>
                    <w:pStyle w:val="123"/>
                    <w:rPr>
                      <w:rFonts w:hint="eastAsia"/>
                    </w:rPr>
                  </w:pPr>
                  <w:r>
                    <w:rPr>
                      <w:rFonts w:hint="eastAsia" w:ascii="宋体" w:hAnsi="宋体"/>
                    </w:rPr>
                    <w:t>符合</w:t>
                  </w:r>
                </w:p>
              </w:tc>
            </w:tr>
            <w:tr w14:paraId="59A145F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23E278CB">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4240D425">
                  <w:pPr>
                    <w:pStyle w:val="124"/>
                    <w:ind w:firstLine="420"/>
                    <w:rPr>
                      <w:rFonts w:hint="eastAsia"/>
                    </w:rPr>
                  </w:pPr>
                  <w:r>
                    <w:t>3.</w:t>
                  </w:r>
                  <w:r>
                    <w:rPr>
                      <w:rFonts w:ascii="宋体" w:hAnsi="宋体"/>
                    </w:rPr>
                    <w:t>符合河南省相关政策要求；</w:t>
                  </w:r>
                </w:p>
              </w:tc>
              <w:tc>
                <w:tcPr>
                  <w:tcW w:w="1695" w:type="pct"/>
                  <w:tcBorders>
                    <w:top w:val="single" w:color="auto" w:sz="4" w:space="0"/>
                    <w:left w:val="single" w:color="auto" w:sz="4" w:space="0"/>
                    <w:bottom w:val="single" w:color="auto" w:sz="4" w:space="0"/>
                    <w:right w:val="single" w:color="auto" w:sz="4" w:space="0"/>
                  </w:tcBorders>
                  <w:vAlign w:val="center"/>
                </w:tcPr>
                <w:p w14:paraId="4C176575">
                  <w:pPr>
                    <w:pStyle w:val="124"/>
                    <w:ind w:firstLine="420"/>
                  </w:pPr>
                  <w:r>
                    <w:rPr>
                      <w:rFonts w:hint="eastAsia"/>
                    </w:rPr>
                    <w:t>3</w:t>
                  </w:r>
                  <w:r>
                    <w:rPr>
                      <w:rFonts w:hint="eastAsia" w:ascii="宋体" w:hAnsi="宋体"/>
                    </w:rPr>
                    <w:t>、本项目</w:t>
                  </w:r>
                  <w:r>
                    <w:rPr>
                      <w:rFonts w:ascii="宋体" w:hAnsi="宋体"/>
                    </w:rPr>
                    <w:t>符合河南省相关政策要求</w:t>
                  </w:r>
                  <w:r>
                    <w:rPr>
                      <w:rFonts w:hint="eastAsia" w:ascii="宋体" w:hAnsi="宋体"/>
                    </w:rPr>
                    <w:t>；</w:t>
                  </w:r>
                </w:p>
              </w:tc>
              <w:tc>
                <w:tcPr>
                  <w:tcW w:w="505" w:type="pct"/>
                  <w:tcBorders>
                    <w:top w:val="single" w:color="auto" w:sz="4" w:space="0"/>
                    <w:left w:val="single" w:color="auto" w:sz="4" w:space="0"/>
                    <w:bottom w:val="single" w:color="auto" w:sz="4" w:space="0"/>
                    <w:right w:val="nil"/>
                  </w:tcBorders>
                  <w:vAlign w:val="center"/>
                </w:tcPr>
                <w:p w14:paraId="389C276D">
                  <w:pPr>
                    <w:pStyle w:val="123"/>
                    <w:rPr>
                      <w:rFonts w:hint="eastAsia"/>
                    </w:rPr>
                  </w:pPr>
                  <w:r>
                    <w:rPr>
                      <w:rFonts w:hint="eastAsia" w:ascii="宋体" w:hAnsi="宋体"/>
                    </w:rPr>
                    <w:t>符合</w:t>
                  </w:r>
                </w:p>
              </w:tc>
            </w:tr>
            <w:tr w14:paraId="0939956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1B068FAB">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65C252A9">
                  <w:pPr>
                    <w:pStyle w:val="124"/>
                    <w:ind w:firstLine="420"/>
                    <w:rPr>
                      <w:rFonts w:hint="eastAsia"/>
                    </w:rPr>
                  </w:pPr>
                  <w:r>
                    <w:t>4.</w:t>
                  </w:r>
                  <w:r>
                    <w:rPr>
                      <w:rFonts w:ascii="宋体" w:hAnsi="宋体"/>
                    </w:rPr>
                    <w:t>符合市级规划。</w:t>
                  </w:r>
                </w:p>
              </w:tc>
              <w:tc>
                <w:tcPr>
                  <w:tcW w:w="1695" w:type="pct"/>
                  <w:tcBorders>
                    <w:top w:val="single" w:color="auto" w:sz="4" w:space="0"/>
                    <w:left w:val="single" w:color="auto" w:sz="4" w:space="0"/>
                    <w:bottom w:val="single" w:color="auto" w:sz="4" w:space="0"/>
                    <w:right w:val="single" w:color="auto" w:sz="4" w:space="0"/>
                  </w:tcBorders>
                  <w:vAlign w:val="center"/>
                </w:tcPr>
                <w:p w14:paraId="6AE9F86E">
                  <w:pPr>
                    <w:pStyle w:val="124"/>
                    <w:ind w:firstLine="420"/>
                  </w:pPr>
                  <w:r>
                    <w:rPr>
                      <w:rFonts w:hint="eastAsia"/>
                    </w:rPr>
                    <w:t>4</w:t>
                  </w:r>
                  <w:r>
                    <w:rPr>
                      <w:rFonts w:hint="eastAsia" w:ascii="宋体" w:hAnsi="宋体"/>
                    </w:rPr>
                    <w:t>、本项目</w:t>
                  </w:r>
                  <w:r>
                    <w:rPr>
                      <w:rFonts w:ascii="宋体" w:hAnsi="宋体"/>
                    </w:rPr>
                    <w:t>符合市级规划</w:t>
                  </w:r>
                  <w:r>
                    <w:rPr>
                      <w:rFonts w:hint="eastAsia" w:ascii="宋体" w:hAnsi="宋体"/>
                    </w:rPr>
                    <w:t>。</w:t>
                  </w:r>
                </w:p>
              </w:tc>
              <w:tc>
                <w:tcPr>
                  <w:tcW w:w="505" w:type="pct"/>
                  <w:tcBorders>
                    <w:top w:val="single" w:color="auto" w:sz="4" w:space="0"/>
                    <w:left w:val="single" w:color="auto" w:sz="4" w:space="0"/>
                    <w:bottom w:val="single" w:color="auto" w:sz="4" w:space="0"/>
                    <w:right w:val="nil"/>
                  </w:tcBorders>
                  <w:vAlign w:val="center"/>
                </w:tcPr>
                <w:p w14:paraId="2CEC8867">
                  <w:pPr>
                    <w:pStyle w:val="123"/>
                    <w:rPr>
                      <w:rFonts w:hint="eastAsia"/>
                    </w:rPr>
                  </w:pPr>
                  <w:r>
                    <w:rPr>
                      <w:rFonts w:hint="eastAsia" w:ascii="宋体" w:hAnsi="宋体"/>
                    </w:rPr>
                    <w:t>符合</w:t>
                  </w:r>
                </w:p>
              </w:tc>
            </w:tr>
            <w:tr w14:paraId="4FEEFA1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restart"/>
                  <w:tcBorders>
                    <w:top w:val="single" w:color="auto" w:sz="4" w:space="0"/>
                    <w:left w:val="nil"/>
                    <w:bottom w:val="single" w:color="auto" w:sz="4" w:space="0"/>
                    <w:right w:val="single" w:color="auto" w:sz="4" w:space="0"/>
                  </w:tcBorders>
                  <w:vAlign w:val="center"/>
                </w:tcPr>
                <w:p w14:paraId="0124B2C3">
                  <w:pPr>
                    <w:pStyle w:val="123"/>
                    <w:rPr>
                      <w:rFonts w:hint="eastAsia"/>
                    </w:rPr>
                  </w:pPr>
                  <w:r>
                    <w:rPr>
                      <w:rFonts w:ascii="宋体" w:hAnsi="宋体"/>
                    </w:rPr>
                    <w:t>废气收集及处理工艺</w:t>
                  </w:r>
                </w:p>
              </w:tc>
              <w:tc>
                <w:tcPr>
                  <w:tcW w:w="2136" w:type="pct"/>
                  <w:tcBorders>
                    <w:top w:val="single" w:color="auto" w:sz="4" w:space="0"/>
                    <w:left w:val="single" w:color="auto" w:sz="4" w:space="0"/>
                    <w:bottom w:val="single" w:color="auto" w:sz="4" w:space="0"/>
                    <w:right w:val="single" w:color="auto" w:sz="4" w:space="0"/>
                  </w:tcBorders>
                  <w:vAlign w:val="center"/>
                </w:tcPr>
                <w:p w14:paraId="77EA945D">
                  <w:pPr>
                    <w:pStyle w:val="124"/>
                    <w:ind w:firstLine="420"/>
                  </w:pPr>
                  <w:r>
                    <w:rPr>
                      <w:rFonts w:hint="eastAsia"/>
                    </w:rPr>
                    <w:t>1.</w:t>
                  </w:r>
                  <w:r>
                    <w:rPr>
                      <w:rFonts w:hint="eastAsia" w:ascii="宋体" w:hAnsi="宋体"/>
                    </w:rPr>
                    <w:t>投料、挤塑、注塑、滚塑、吹塑、挤出、造粒、热定型、冷却、发泡、熟化、干燥、塑炼、压延、涂覆等涉</w:t>
                  </w:r>
                  <w:r>
                    <w:rPr>
                      <w:rFonts w:hint="eastAsia"/>
                    </w:rPr>
                    <w:t>VOCs</w:t>
                  </w:r>
                  <w:r>
                    <w:rPr>
                      <w:rFonts w:hint="eastAsia" w:ascii="宋体" w:hAnsi="宋体"/>
                    </w:rPr>
                    <w:t>工序采用密闭设备或在密闭空间内操作，废气有效收集至</w:t>
                  </w:r>
                  <w:r>
                    <w:rPr>
                      <w:rFonts w:hint="eastAsia"/>
                    </w:rPr>
                    <w:t>VOCs</w:t>
                  </w:r>
                  <w:r>
                    <w:rPr>
                      <w:rFonts w:hint="eastAsia" w:ascii="宋体" w:hAnsi="宋体"/>
                    </w:rPr>
                    <w:t>废气处理系统，车间外无异味；采用局部集气罩的，距集气罩开口面最远处的</w:t>
                  </w:r>
                  <w:r>
                    <w:rPr>
                      <w:rFonts w:hint="eastAsia"/>
                    </w:rPr>
                    <w:t>VOCs</w:t>
                  </w:r>
                  <w:r>
                    <w:rPr>
                      <w:rFonts w:hint="eastAsia" w:ascii="宋体" w:hAnsi="宋体"/>
                    </w:rPr>
                    <w:t>无组织排放位置，控制风速不低于</w:t>
                  </w:r>
                  <w:r>
                    <w:rPr>
                      <w:rFonts w:hint="eastAsia"/>
                    </w:rPr>
                    <w:t>0.3</w:t>
                  </w:r>
                  <w:r>
                    <w:rPr>
                      <w:rFonts w:hint="eastAsia" w:ascii="宋体" w:hAnsi="宋体"/>
                    </w:rPr>
                    <w:t>米</w:t>
                  </w:r>
                  <w:r>
                    <w:rPr>
                      <w:rFonts w:hint="eastAsia"/>
                    </w:rPr>
                    <w:t>/</w:t>
                  </w:r>
                  <w:r>
                    <w:rPr>
                      <w:rFonts w:hint="eastAsia" w:ascii="宋体" w:hAnsi="宋体"/>
                    </w:rPr>
                    <w:t>秒；</w:t>
                  </w:r>
                </w:p>
              </w:tc>
              <w:tc>
                <w:tcPr>
                  <w:tcW w:w="1695" w:type="pct"/>
                  <w:tcBorders>
                    <w:top w:val="single" w:color="auto" w:sz="4" w:space="0"/>
                    <w:left w:val="single" w:color="auto" w:sz="4" w:space="0"/>
                    <w:bottom w:val="single" w:color="auto" w:sz="4" w:space="0"/>
                    <w:right w:val="single" w:color="auto" w:sz="4" w:space="0"/>
                  </w:tcBorders>
                  <w:vAlign w:val="center"/>
                </w:tcPr>
                <w:p w14:paraId="7D4AB675">
                  <w:pPr>
                    <w:pStyle w:val="124"/>
                    <w:ind w:firstLine="420"/>
                  </w:pPr>
                  <w:r>
                    <w:rPr>
                      <w:rFonts w:hint="eastAsia" w:ascii="宋体" w:hAnsi="宋体"/>
                    </w:rPr>
                    <w:t>本项目各工序均位于密闭车间，熔融挤出工序产生的有机废气经集气罩收集后经工业高压静电油烟净化装置+活性炭吸附/脱附-催化燃烧装置处理后排放，距集气罩开口面最远处的VOCs无组织排放位置，控制风速不低于0.3米/秒；</w:t>
                  </w:r>
                </w:p>
              </w:tc>
              <w:tc>
                <w:tcPr>
                  <w:tcW w:w="505" w:type="pct"/>
                  <w:tcBorders>
                    <w:top w:val="single" w:color="auto" w:sz="4" w:space="0"/>
                    <w:left w:val="single" w:color="auto" w:sz="4" w:space="0"/>
                    <w:bottom w:val="single" w:color="auto" w:sz="4" w:space="0"/>
                    <w:right w:val="nil"/>
                  </w:tcBorders>
                  <w:vAlign w:val="center"/>
                </w:tcPr>
                <w:p w14:paraId="3646A9DB">
                  <w:pPr>
                    <w:pStyle w:val="123"/>
                  </w:pPr>
                  <w:r>
                    <w:rPr>
                      <w:rFonts w:ascii="宋体" w:hAnsi="宋体"/>
                    </w:rPr>
                    <w:t>满足</w:t>
                  </w:r>
                </w:p>
              </w:tc>
            </w:tr>
            <w:tr w14:paraId="3208E90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1DFC5145">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73C6778A">
                  <w:pPr>
                    <w:pStyle w:val="124"/>
                    <w:ind w:firstLine="420"/>
                  </w:pPr>
                  <w:r>
                    <w:rPr>
                      <w:rFonts w:hint="eastAsia"/>
                    </w:rPr>
                    <w:t>2.</w:t>
                  </w:r>
                  <w:r>
                    <w:rPr>
                      <w:rFonts w:hint="eastAsia" w:ascii="宋体" w:hAnsi="宋体"/>
                    </w:rPr>
                    <w:t>使用再生料的企业【</w:t>
                  </w:r>
                  <w:r>
                    <w:rPr>
                      <w:rFonts w:hint="eastAsia"/>
                    </w:rPr>
                    <w:t>1</w:t>
                  </w:r>
                  <w:r>
                    <w:rPr>
                      <w:rFonts w:hint="eastAsia" w:ascii="宋体" w:hAnsi="宋体"/>
                    </w:rPr>
                    <w:t>】</w:t>
                  </w:r>
                  <w:r>
                    <w:rPr>
                      <w:rFonts w:hint="eastAsia"/>
                    </w:rPr>
                    <w:t>VOCs</w:t>
                  </w:r>
                  <w:r>
                    <w:rPr>
                      <w:rFonts w:hint="eastAsia" w:ascii="宋体" w:hAnsi="宋体"/>
                    </w:rPr>
                    <w:t>治理采用燃烧工艺（包括直接燃烧、催化燃烧和蓄热燃烧）；使用原生料的企业</w:t>
                  </w:r>
                  <w:r>
                    <w:rPr>
                      <w:rFonts w:hint="eastAsia"/>
                    </w:rPr>
                    <w:t>VOCs</w:t>
                  </w:r>
                  <w:r>
                    <w:rPr>
                      <w:rFonts w:hint="eastAsia" w:ascii="宋体" w:hAnsi="宋体"/>
                    </w:rPr>
                    <w:t>治理采用燃烧工艺或吸附、冷凝、膜分离等工艺处理（其中采用颗粒状活性炭的，柱状活性炭直径≤</w:t>
                  </w:r>
                  <w:r>
                    <w:rPr>
                      <w:rFonts w:hint="eastAsia"/>
                    </w:rPr>
                    <w:t>5mm</w:t>
                  </w:r>
                  <w:r>
                    <w:rPr>
                      <w:rFonts w:hint="eastAsia" w:ascii="宋体" w:hAnsi="宋体"/>
                    </w:rPr>
                    <w:t>、碘值≥</w:t>
                  </w:r>
                  <w:r>
                    <w:rPr>
                      <w:rFonts w:hint="eastAsia"/>
                    </w:rPr>
                    <w:t>800mg/g</w:t>
                  </w:r>
                  <w:r>
                    <w:rPr>
                      <w:rFonts w:hint="eastAsia" w:ascii="宋体" w:hAnsi="宋体"/>
                    </w:rPr>
                    <w:t>，且填充量与每小时处理废气量体积之比满足</w:t>
                  </w:r>
                  <w:r>
                    <w:rPr>
                      <w:rFonts w:hint="eastAsia"/>
                    </w:rPr>
                    <w:t>1:7000</w:t>
                  </w:r>
                  <w:r>
                    <w:rPr>
                      <w:rFonts w:hint="eastAsia" w:ascii="宋体" w:hAnsi="宋体"/>
                    </w:rPr>
                    <w:t>的要求；使用蜂窝状活性炭的，碘值≥</w:t>
                  </w:r>
                  <w:r>
                    <w:rPr>
                      <w:rFonts w:hint="eastAsia"/>
                    </w:rPr>
                    <w:t>650mg/g</w:t>
                  </w:r>
                  <w:r>
                    <w:rPr>
                      <w:rFonts w:hint="eastAsia" w:ascii="宋体" w:hAnsi="宋体"/>
                    </w:rPr>
                    <w:t>、比表面积应不低于</w:t>
                  </w:r>
                  <w:r>
                    <w:rPr>
                      <w:rFonts w:hint="eastAsia"/>
                    </w:rPr>
                    <w:t>750m</w:t>
                  </w:r>
                  <w:r>
                    <w:rPr>
                      <w:rFonts w:hint="eastAsia"/>
                      <w:vertAlign w:val="superscript"/>
                    </w:rPr>
                    <w:t>2</w:t>
                  </w:r>
                  <w:r>
                    <w:rPr>
                      <w:rFonts w:hint="eastAsia"/>
                    </w:rPr>
                    <w:t>/g</w:t>
                  </w:r>
                  <w:r>
                    <w:rPr>
                      <w:rFonts w:hint="eastAsia" w:ascii="宋体" w:hAnsi="宋体"/>
                    </w:rPr>
                    <w:t>，且填充量与每小时处理废气量体积之比满足</w:t>
                  </w:r>
                  <w:r>
                    <w:rPr>
                      <w:rFonts w:hint="eastAsia"/>
                    </w:rPr>
                    <w:t>1:5000</w:t>
                  </w:r>
                  <w:r>
                    <w:rPr>
                      <w:rFonts w:hint="eastAsia" w:ascii="宋体" w:hAnsi="宋体"/>
                    </w:rPr>
                    <w:t>的要求；活性炭吸附设施废气进口处安装有仪器仪表等装置，可实时监测显示并记录湿度、温度等数据，废气温度、颗粒物、相对湿度分别不超过</w:t>
                  </w:r>
                  <w:r>
                    <w:rPr>
                      <w:rFonts w:hint="eastAsia"/>
                    </w:rPr>
                    <w:t>40</w:t>
                  </w:r>
                  <w:r>
                    <w:rPr>
                      <w:rFonts w:hint="eastAsia" w:ascii="宋体" w:hAnsi="宋体"/>
                    </w:rPr>
                    <w:t>℃、</w:t>
                  </w:r>
                  <w:r>
                    <w:rPr>
                      <w:rFonts w:hint="eastAsia"/>
                    </w:rPr>
                    <w:t>1mg/m</w:t>
                  </w:r>
                  <w:r>
                    <w:rPr>
                      <w:rFonts w:hint="eastAsia"/>
                      <w:vertAlign w:val="superscript"/>
                    </w:rPr>
                    <w:t>3</w:t>
                  </w:r>
                  <w:r>
                    <w:rPr>
                      <w:rFonts w:hint="eastAsia" w:ascii="宋体" w:hAnsi="宋体"/>
                    </w:rPr>
                    <w:t>、</w:t>
                  </w:r>
                  <w:r>
                    <w:rPr>
                      <w:rFonts w:hint="eastAsia"/>
                    </w:rPr>
                    <w:t>50%</w:t>
                  </w:r>
                  <w:r>
                    <w:rPr>
                      <w:rFonts w:hint="eastAsia" w:ascii="宋体" w:hAnsi="宋体"/>
                    </w:rPr>
                    <w:t>）。废气中含有油烟或颗粒物的，应在</w:t>
                  </w:r>
                  <w:r>
                    <w:rPr>
                      <w:rFonts w:hint="eastAsia"/>
                    </w:rPr>
                    <w:t>VOCs</w:t>
                  </w:r>
                  <w:r>
                    <w:rPr>
                      <w:rFonts w:hint="eastAsia" w:ascii="宋体" w:hAnsi="宋体"/>
                    </w:rPr>
                    <w:t>治理设施前端加装除尘设施或油烟净化装置；</w:t>
                  </w:r>
                </w:p>
              </w:tc>
              <w:tc>
                <w:tcPr>
                  <w:tcW w:w="1695" w:type="pct"/>
                  <w:tcBorders>
                    <w:top w:val="single" w:color="auto" w:sz="4" w:space="0"/>
                    <w:left w:val="single" w:color="auto" w:sz="4" w:space="0"/>
                    <w:bottom w:val="single" w:color="auto" w:sz="4" w:space="0"/>
                    <w:right w:val="single" w:color="auto" w:sz="4" w:space="0"/>
                  </w:tcBorders>
                  <w:vAlign w:val="center"/>
                </w:tcPr>
                <w:p w14:paraId="1FE4E12C">
                  <w:pPr>
                    <w:pStyle w:val="124"/>
                    <w:ind w:firstLine="420"/>
                  </w:pPr>
                  <w:r>
                    <w:rPr>
                      <w:rFonts w:hint="eastAsia" w:ascii="宋体" w:hAnsi="宋体"/>
                    </w:rPr>
                    <w:t>本项目熔融挤出工序产生的有机废气采用工业高压静电油烟净化装置+活性炭吸附/脱附-催化燃烧装置处理。</w:t>
                  </w:r>
                </w:p>
              </w:tc>
              <w:tc>
                <w:tcPr>
                  <w:tcW w:w="505" w:type="pct"/>
                  <w:tcBorders>
                    <w:top w:val="single" w:color="auto" w:sz="4" w:space="0"/>
                    <w:left w:val="single" w:color="auto" w:sz="4" w:space="0"/>
                    <w:bottom w:val="single" w:color="auto" w:sz="4" w:space="0"/>
                    <w:right w:val="nil"/>
                  </w:tcBorders>
                  <w:vAlign w:val="center"/>
                </w:tcPr>
                <w:p w14:paraId="2A9F0829">
                  <w:pPr>
                    <w:pStyle w:val="123"/>
                  </w:pPr>
                  <w:r>
                    <w:rPr>
                      <w:rFonts w:ascii="宋体" w:hAnsi="宋体"/>
                    </w:rPr>
                    <w:t>满足</w:t>
                  </w:r>
                </w:p>
              </w:tc>
            </w:tr>
            <w:tr w14:paraId="0D35BB2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1AE1A7F6">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5DF55518">
                  <w:pPr>
                    <w:pStyle w:val="124"/>
                    <w:ind w:firstLine="420"/>
                  </w:pPr>
                  <w:r>
                    <w:rPr>
                      <w:rFonts w:hint="eastAsia"/>
                    </w:rPr>
                    <w:t>3.</w:t>
                  </w:r>
                  <w:r>
                    <w:rPr>
                      <w:rFonts w:hint="eastAsia" w:ascii="宋体" w:hAnsi="宋体"/>
                    </w:rPr>
                    <w:t>粉状、粒状物料采用自动投料器投加和配混，投加和混配工序在封闭车间内进行，</w:t>
                  </w:r>
                  <w:r>
                    <w:rPr>
                      <w:rFonts w:hint="eastAsia"/>
                    </w:rPr>
                    <w:t>PM</w:t>
                  </w:r>
                  <w:r>
                    <w:rPr>
                      <w:rFonts w:hint="eastAsia" w:ascii="宋体" w:hAnsi="宋体"/>
                    </w:rPr>
                    <w:t>有效收集，采用覆膜滤袋、滤筒等除尘技术；</w:t>
                  </w:r>
                </w:p>
              </w:tc>
              <w:tc>
                <w:tcPr>
                  <w:tcW w:w="1695" w:type="pct"/>
                  <w:tcBorders>
                    <w:top w:val="single" w:color="auto" w:sz="4" w:space="0"/>
                    <w:left w:val="single" w:color="auto" w:sz="4" w:space="0"/>
                    <w:bottom w:val="single" w:color="auto" w:sz="4" w:space="0"/>
                    <w:right w:val="single" w:color="auto" w:sz="4" w:space="0"/>
                  </w:tcBorders>
                  <w:vAlign w:val="center"/>
                </w:tcPr>
                <w:p w14:paraId="27CE538F">
                  <w:pPr>
                    <w:pStyle w:val="124"/>
                    <w:ind w:firstLine="420"/>
                  </w:pPr>
                  <w:r>
                    <w:rPr>
                      <w:rFonts w:hint="eastAsia" w:ascii="宋体" w:hAnsi="宋体"/>
                    </w:rPr>
                    <w:t>本项目原辅料不涉及粉状、粒状物料。</w:t>
                  </w:r>
                </w:p>
              </w:tc>
              <w:tc>
                <w:tcPr>
                  <w:tcW w:w="505" w:type="pct"/>
                  <w:tcBorders>
                    <w:top w:val="single" w:color="auto" w:sz="4" w:space="0"/>
                    <w:left w:val="single" w:color="auto" w:sz="4" w:space="0"/>
                    <w:bottom w:val="single" w:color="auto" w:sz="4" w:space="0"/>
                    <w:right w:val="nil"/>
                  </w:tcBorders>
                  <w:vAlign w:val="center"/>
                </w:tcPr>
                <w:p w14:paraId="3168669F">
                  <w:pPr>
                    <w:pStyle w:val="123"/>
                  </w:pPr>
                  <w:r>
                    <w:rPr>
                      <w:rFonts w:ascii="宋体" w:hAnsi="宋体"/>
                    </w:rPr>
                    <w:t>满足</w:t>
                  </w:r>
                </w:p>
              </w:tc>
            </w:tr>
            <w:tr w14:paraId="7826292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61599564">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44C50F72">
                  <w:pPr>
                    <w:pStyle w:val="124"/>
                    <w:ind w:firstLine="420"/>
                  </w:pPr>
                  <w:r>
                    <w:rPr>
                      <w:rFonts w:hint="eastAsia"/>
                    </w:rPr>
                    <w:t>4.</w:t>
                  </w:r>
                  <w:r>
                    <w:rPr>
                      <w:rFonts w:hint="eastAsia" w:ascii="宋体" w:hAnsi="宋体"/>
                    </w:rPr>
                    <w:t>废吸附剂应密闭的包装袋或容器储存、转运，并建立储存、处置台账；</w:t>
                  </w:r>
                </w:p>
              </w:tc>
              <w:tc>
                <w:tcPr>
                  <w:tcW w:w="1695" w:type="pct"/>
                  <w:tcBorders>
                    <w:top w:val="single" w:color="auto" w:sz="4" w:space="0"/>
                    <w:left w:val="single" w:color="auto" w:sz="4" w:space="0"/>
                    <w:bottom w:val="single" w:color="auto" w:sz="4" w:space="0"/>
                    <w:right w:val="single" w:color="auto" w:sz="4" w:space="0"/>
                  </w:tcBorders>
                  <w:vAlign w:val="center"/>
                </w:tcPr>
                <w:p w14:paraId="56EE5464">
                  <w:pPr>
                    <w:pStyle w:val="124"/>
                    <w:ind w:firstLine="420"/>
                  </w:pPr>
                  <w:r>
                    <w:rPr>
                      <w:rFonts w:hint="eastAsia" w:ascii="宋体" w:hAnsi="宋体"/>
                    </w:rPr>
                    <w:t>本项目废活性炭采用密闭的包装袋包装后于危废暂存间暂存，并建立储存、处置台账。</w:t>
                  </w:r>
                </w:p>
              </w:tc>
              <w:tc>
                <w:tcPr>
                  <w:tcW w:w="505" w:type="pct"/>
                  <w:tcBorders>
                    <w:top w:val="single" w:color="auto" w:sz="4" w:space="0"/>
                    <w:left w:val="single" w:color="auto" w:sz="4" w:space="0"/>
                    <w:bottom w:val="single" w:color="auto" w:sz="4" w:space="0"/>
                    <w:right w:val="nil"/>
                  </w:tcBorders>
                  <w:vAlign w:val="center"/>
                </w:tcPr>
                <w:p w14:paraId="10286137">
                  <w:pPr>
                    <w:pStyle w:val="123"/>
                  </w:pPr>
                  <w:r>
                    <w:rPr>
                      <w:rFonts w:ascii="宋体" w:hAnsi="宋体"/>
                    </w:rPr>
                    <w:t>满足</w:t>
                  </w:r>
                </w:p>
              </w:tc>
            </w:tr>
            <w:tr w14:paraId="488F0F0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6B04F95B">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38DF0993">
                  <w:pPr>
                    <w:pStyle w:val="124"/>
                    <w:ind w:firstLine="420"/>
                  </w:pPr>
                  <w:r>
                    <w:rPr>
                      <w:rFonts w:hint="eastAsia"/>
                    </w:rPr>
                    <w:t>5.NOx</w:t>
                  </w:r>
                  <w:r>
                    <w:rPr>
                      <w:rFonts w:hint="eastAsia" w:ascii="宋体" w:hAnsi="宋体"/>
                    </w:rPr>
                    <w:t>治理采用低氮燃烧、</w:t>
                  </w:r>
                  <w:r>
                    <w:rPr>
                      <w:rFonts w:hint="eastAsia"/>
                    </w:rPr>
                    <w:t>SNCR/SCR</w:t>
                  </w:r>
                  <w:r>
                    <w:rPr>
                      <w:rFonts w:hint="eastAsia" w:ascii="宋体" w:hAnsi="宋体"/>
                    </w:rPr>
                    <w:t>等适宜技术。使用氨法脱硝的企业，氨的装卸、储存、输送、制备等过程全程密闭，并采取氨气泄漏检测和收集措施；采用尿素作为还原剂的配备有尿素加热水解制氨系统。</w:t>
                  </w:r>
                </w:p>
              </w:tc>
              <w:tc>
                <w:tcPr>
                  <w:tcW w:w="1695" w:type="pct"/>
                  <w:tcBorders>
                    <w:top w:val="single" w:color="auto" w:sz="4" w:space="0"/>
                    <w:left w:val="single" w:color="auto" w:sz="4" w:space="0"/>
                    <w:bottom w:val="single" w:color="auto" w:sz="4" w:space="0"/>
                    <w:right w:val="single" w:color="auto" w:sz="4" w:space="0"/>
                  </w:tcBorders>
                  <w:vAlign w:val="center"/>
                </w:tcPr>
                <w:p w14:paraId="5F7F2D6F">
                  <w:pPr>
                    <w:pStyle w:val="124"/>
                    <w:ind w:firstLine="420"/>
                  </w:pPr>
                  <w:r>
                    <w:rPr>
                      <w:rFonts w:hint="eastAsia" w:ascii="宋体" w:hAnsi="宋体"/>
                    </w:rPr>
                    <w:t>本项目不涉及</w:t>
                  </w:r>
                  <w:r>
                    <w:t>NOx</w:t>
                  </w:r>
                </w:p>
              </w:tc>
              <w:tc>
                <w:tcPr>
                  <w:tcW w:w="505" w:type="pct"/>
                  <w:tcBorders>
                    <w:top w:val="single" w:color="auto" w:sz="4" w:space="0"/>
                    <w:left w:val="single" w:color="auto" w:sz="4" w:space="0"/>
                    <w:bottom w:val="single" w:color="auto" w:sz="4" w:space="0"/>
                    <w:right w:val="nil"/>
                  </w:tcBorders>
                  <w:vAlign w:val="center"/>
                </w:tcPr>
                <w:p w14:paraId="2CFEDDC8">
                  <w:pPr>
                    <w:pStyle w:val="123"/>
                  </w:pPr>
                  <w:r>
                    <w:rPr>
                      <w:rFonts w:ascii="宋体" w:hAnsi="宋体"/>
                    </w:rPr>
                    <w:t>满足</w:t>
                  </w:r>
                </w:p>
              </w:tc>
            </w:tr>
            <w:tr w14:paraId="1F120ADA">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restart"/>
                  <w:tcBorders>
                    <w:top w:val="single" w:color="auto" w:sz="4" w:space="0"/>
                    <w:left w:val="nil"/>
                    <w:bottom w:val="single" w:color="auto" w:sz="4" w:space="0"/>
                    <w:right w:val="single" w:color="auto" w:sz="4" w:space="0"/>
                  </w:tcBorders>
                  <w:vAlign w:val="center"/>
                </w:tcPr>
                <w:p w14:paraId="33417E47">
                  <w:pPr>
                    <w:pStyle w:val="123"/>
                  </w:pPr>
                  <w:r>
                    <w:rPr>
                      <w:rFonts w:ascii="宋体" w:hAnsi="宋体"/>
                    </w:rPr>
                    <w:t>无组织排放</w:t>
                  </w:r>
                </w:p>
              </w:tc>
              <w:tc>
                <w:tcPr>
                  <w:tcW w:w="2136" w:type="pct"/>
                  <w:tcBorders>
                    <w:top w:val="single" w:color="auto" w:sz="4" w:space="0"/>
                    <w:left w:val="single" w:color="auto" w:sz="4" w:space="0"/>
                    <w:bottom w:val="single" w:color="auto" w:sz="4" w:space="0"/>
                    <w:right w:val="single" w:color="auto" w:sz="4" w:space="0"/>
                  </w:tcBorders>
                  <w:vAlign w:val="center"/>
                </w:tcPr>
                <w:p w14:paraId="72963CBC">
                  <w:pPr>
                    <w:pStyle w:val="124"/>
                    <w:ind w:firstLine="420"/>
                  </w:pPr>
                  <w:r>
                    <w:rPr>
                      <w:rFonts w:hint="eastAsia"/>
                    </w:rPr>
                    <w:t>1.VOCs</w:t>
                  </w:r>
                  <w:r>
                    <w:rPr>
                      <w:rFonts w:hint="eastAsia" w:ascii="宋体" w:hAnsi="宋体"/>
                    </w:rPr>
                    <w:t>物料存储于密闭的容器、包装袋、储罐、储库、料仓中；盛装</w:t>
                  </w:r>
                  <w:r>
                    <w:rPr>
                      <w:rFonts w:hint="eastAsia"/>
                    </w:rPr>
                    <w:t>VOCs</w:t>
                  </w:r>
                  <w:r>
                    <w:rPr>
                      <w:rFonts w:hint="eastAsia" w:ascii="宋体" w:hAnsi="宋体"/>
                    </w:rPr>
                    <w:t>物料的容器或包装袋存放于室内；盛装</w:t>
                  </w:r>
                  <w:r>
                    <w:rPr>
                      <w:rFonts w:hint="eastAsia"/>
                    </w:rPr>
                    <w:t>VOCs</w:t>
                  </w:r>
                  <w:r>
                    <w:rPr>
                      <w:rFonts w:hint="eastAsia" w:ascii="宋体" w:hAnsi="宋体"/>
                    </w:rPr>
                    <w:t>物料的容器或包装袋在非取用状态时应加盖、封口，保持密闭；</w:t>
                  </w:r>
                </w:p>
              </w:tc>
              <w:tc>
                <w:tcPr>
                  <w:tcW w:w="1695" w:type="pct"/>
                  <w:tcBorders>
                    <w:top w:val="single" w:color="auto" w:sz="4" w:space="0"/>
                    <w:left w:val="single" w:color="auto" w:sz="4" w:space="0"/>
                    <w:bottom w:val="single" w:color="auto" w:sz="4" w:space="0"/>
                    <w:right w:val="single" w:color="auto" w:sz="4" w:space="0"/>
                  </w:tcBorders>
                  <w:vAlign w:val="center"/>
                </w:tcPr>
                <w:p w14:paraId="08A4FB6D">
                  <w:pPr>
                    <w:pStyle w:val="124"/>
                    <w:ind w:firstLine="420"/>
                  </w:pPr>
                  <w:r>
                    <w:t>1</w:t>
                  </w:r>
                  <w:r>
                    <w:rPr>
                      <w:rFonts w:hint="eastAsia" w:ascii="宋体" w:hAnsi="宋体"/>
                    </w:rPr>
                    <w:t>、本项目原料中不涉及</w:t>
                  </w:r>
                  <w:r>
                    <w:rPr>
                      <w:rFonts w:hint="eastAsia"/>
                    </w:rPr>
                    <w:t>VOCs</w:t>
                  </w:r>
                  <w:r>
                    <w:rPr>
                      <w:rFonts w:hint="eastAsia" w:ascii="宋体" w:hAnsi="宋体"/>
                    </w:rPr>
                    <w:t>物料。</w:t>
                  </w:r>
                </w:p>
              </w:tc>
              <w:tc>
                <w:tcPr>
                  <w:tcW w:w="505" w:type="pct"/>
                  <w:tcBorders>
                    <w:top w:val="single" w:color="auto" w:sz="4" w:space="0"/>
                    <w:left w:val="single" w:color="auto" w:sz="4" w:space="0"/>
                    <w:bottom w:val="single" w:color="auto" w:sz="4" w:space="0"/>
                    <w:right w:val="nil"/>
                  </w:tcBorders>
                  <w:vAlign w:val="center"/>
                </w:tcPr>
                <w:p w14:paraId="3C4E3347">
                  <w:pPr>
                    <w:pStyle w:val="123"/>
                  </w:pPr>
                  <w:r>
                    <w:rPr>
                      <w:rFonts w:ascii="宋体" w:hAnsi="宋体"/>
                    </w:rPr>
                    <w:t>满足</w:t>
                  </w:r>
                </w:p>
              </w:tc>
            </w:tr>
            <w:tr w14:paraId="1DB4E83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123721CB">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68181EFE">
                  <w:pPr>
                    <w:pStyle w:val="124"/>
                    <w:ind w:firstLine="420"/>
                  </w:pPr>
                  <w:r>
                    <w:rPr>
                      <w:rFonts w:hint="eastAsia"/>
                    </w:rPr>
                    <w:t>2.</w:t>
                  </w:r>
                  <w:r>
                    <w:rPr>
                      <w:rFonts w:hint="eastAsia" w:ascii="宋体" w:hAnsi="宋体"/>
                    </w:rPr>
                    <w:t>粉状物料采用气力输送、管状带式输送机、螺旋输送机等自动化、密闭输送方式；粒状物料采用封闭皮带等自动化、封闭输送方式；液态</w:t>
                  </w:r>
                  <w:r>
                    <w:rPr>
                      <w:rFonts w:hint="eastAsia"/>
                    </w:rPr>
                    <w:t>VOCs</w:t>
                  </w:r>
                  <w:r>
                    <w:rPr>
                      <w:rFonts w:hint="eastAsia" w:ascii="宋体" w:hAnsi="宋体"/>
                    </w:rPr>
                    <w:t>物料采用密闭管道输送；</w:t>
                  </w:r>
                </w:p>
              </w:tc>
              <w:tc>
                <w:tcPr>
                  <w:tcW w:w="1695" w:type="pct"/>
                  <w:tcBorders>
                    <w:top w:val="single" w:color="auto" w:sz="4" w:space="0"/>
                    <w:left w:val="single" w:color="auto" w:sz="4" w:space="0"/>
                    <w:bottom w:val="single" w:color="auto" w:sz="4" w:space="0"/>
                    <w:right w:val="single" w:color="auto" w:sz="4" w:space="0"/>
                  </w:tcBorders>
                  <w:vAlign w:val="center"/>
                </w:tcPr>
                <w:p w14:paraId="0069E399">
                  <w:pPr>
                    <w:pStyle w:val="124"/>
                    <w:ind w:firstLine="420"/>
                  </w:pPr>
                  <w:r>
                    <w:t>2</w:t>
                  </w:r>
                  <w:r>
                    <w:rPr>
                      <w:rFonts w:hint="eastAsia" w:ascii="宋体" w:hAnsi="宋体"/>
                    </w:rPr>
                    <w:t>、本项目不涉及粉状、粒状物料及液态</w:t>
                  </w:r>
                  <w:r>
                    <w:t>VOCs</w:t>
                  </w:r>
                  <w:r>
                    <w:rPr>
                      <w:rFonts w:hint="eastAsia" w:ascii="宋体" w:hAnsi="宋体"/>
                    </w:rPr>
                    <w:t>物料；</w:t>
                  </w:r>
                </w:p>
              </w:tc>
              <w:tc>
                <w:tcPr>
                  <w:tcW w:w="505" w:type="pct"/>
                  <w:tcBorders>
                    <w:top w:val="single" w:color="auto" w:sz="4" w:space="0"/>
                    <w:left w:val="single" w:color="auto" w:sz="4" w:space="0"/>
                    <w:bottom w:val="single" w:color="auto" w:sz="4" w:space="0"/>
                    <w:right w:val="nil"/>
                  </w:tcBorders>
                  <w:vAlign w:val="center"/>
                </w:tcPr>
                <w:p w14:paraId="794D1894">
                  <w:pPr>
                    <w:pStyle w:val="123"/>
                  </w:pPr>
                  <w:r>
                    <w:rPr>
                      <w:rFonts w:ascii="宋体" w:hAnsi="宋体"/>
                    </w:rPr>
                    <w:t>满足</w:t>
                  </w:r>
                </w:p>
              </w:tc>
            </w:tr>
            <w:tr w14:paraId="78853128">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403D7759">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1118645B">
                  <w:pPr>
                    <w:pStyle w:val="124"/>
                    <w:ind w:firstLine="420"/>
                  </w:pPr>
                  <w:r>
                    <w:rPr>
                      <w:rFonts w:hint="eastAsia"/>
                    </w:rPr>
                    <w:t>3.</w:t>
                  </w:r>
                  <w:r>
                    <w:rPr>
                      <w:rFonts w:hint="eastAsia" w:ascii="宋体" w:hAnsi="宋体"/>
                    </w:rPr>
                    <w:t>产生</w:t>
                  </w:r>
                  <w:r>
                    <w:rPr>
                      <w:rFonts w:hint="eastAsia"/>
                    </w:rPr>
                    <w:t>VOCs</w:t>
                  </w:r>
                  <w:r>
                    <w:rPr>
                      <w:rFonts w:hint="eastAsia" w:ascii="宋体" w:hAnsi="宋体"/>
                    </w:rPr>
                    <w:t>的生产工序和装置应设置有效集气装置并引至</w:t>
                  </w:r>
                  <w:r>
                    <w:rPr>
                      <w:rFonts w:hint="eastAsia"/>
                    </w:rPr>
                    <w:t>VOCs</w:t>
                  </w:r>
                  <w:r>
                    <w:rPr>
                      <w:rFonts w:hint="eastAsia" w:ascii="宋体" w:hAnsi="宋体"/>
                    </w:rPr>
                    <w:t>末端处理设施；</w:t>
                  </w:r>
                </w:p>
              </w:tc>
              <w:tc>
                <w:tcPr>
                  <w:tcW w:w="1695" w:type="pct"/>
                  <w:tcBorders>
                    <w:top w:val="single" w:color="auto" w:sz="4" w:space="0"/>
                    <w:left w:val="single" w:color="auto" w:sz="4" w:space="0"/>
                    <w:bottom w:val="single" w:color="auto" w:sz="4" w:space="0"/>
                    <w:right w:val="single" w:color="auto" w:sz="4" w:space="0"/>
                  </w:tcBorders>
                  <w:vAlign w:val="center"/>
                </w:tcPr>
                <w:p w14:paraId="6FCEB46C">
                  <w:pPr>
                    <w:pStyle w:val="124"/>
                    <w:ind w:firstLine="420"/>
                  </w:pPr>
                  <w:r>
                    <w:t>3</w:t>
                  </w:r>
                  <w:r>
                    <w:rPr>
                      <w:rFonts w:hint="eastAsia" w:ascii="宋体" w:hAnsi="宋体"/>
                    </w:rPr>
                    <w:t>、本项目熔融挤出工序产生的有机废气采用工业高压静电油烟净化装置</w:t>
                  </w:r>
                  <w:r>
                    <w:t>+</w:t>
                  </w:r>
                  <w:r>
                    <w:rPr>
                      <w:rFonts w:hint="eastAsia" w:ascii="宋体" w:hAnsi="宋体"/>
                    </w:rPr>
                    <w:t>活性炭吸附</w:t>
                  </w:r>
                  <w:r>
                    <w:t>/</w:t>
                  </w:r>
                  <w:r>
                    <w:rPr>
                      <w:rFonts w:hint="eastAsia" w:ascii="宋体" w:hAnsi="宋体"/>
                    </w:rPr>
                    <w:t>脱附</w:t>
                  </w:r>
                  <w:r>
                    <w:t>-</w:t>
                  </w:r>
                  <w:r>
                    <w:rPr>
                      <w:rFonts w:hint="eastAsia" w:ascii="宋体" w:hAnsi="宋体"/>
                    </w:rPr>
                    <w:t>催化燃烧装置处理；</w:t>
                  </w:r>
                </w:p>
              </w:tc>
              <w:tc>
                <w:tcPr>
                  <w:tcW w:w="505" w:type="pct"/>
                  <w:tcBorders>
                    <w:top w:val="single" w:color="auto" w:sz="4" w:space="0"/>
                    <w:left w:val="single" w:color="auto" w:sz="4" w:space="0"/>
                    <w:bottom w:val="single" w:color="auto" w:sz="4" w:space="0"/>
                    <w:right w:val="nil"/>
                  </w:tcBorders>
                  <w:vAlign w:val="center"/>
                </w:tcPr>
                <w:p w14:paraId="67EC8A5E">
                  <w:pPr>
                    <w:pStyle w:val="123"/>
                  </w:pPr>
                  <w:r>
                    <w:rPr>
                      <w:rFonts w:ascii="宋体" w:hAnsi="宋体"/>
                    </w:rPr>
                    <w:t>满足</w:t>
                  </w:r>
                </w:p>
              </w:tc>
            </w:tr>
            <w:tr w14:paraId="4D7EC1B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28BBB2C9">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43C6882F">
                  <w:pPr>
                    <w:pStyle w:val="124"/>
                    <w:ind w:firstLine="420"/>
                  </w:pPr>
                  <w:r>
                    <w:rPr>
                      <w:rFonts w:hint="eastAsia"/>
                    </w:rPr>
                    <w:t>4.</w:t>
                  </w:r>
                  <w:r>
                    <w:rPr>
                      <w:rFonts w:hint="eastAsia" w:ascii="宋体" w:hAnsi="宋体"/>
                    </w:rPr>
                    <w:t>厂区道路及车间地面硬化，车间地面、墙壁、设备顶部整洁无积尘；厂内地面全部硬化或绿化，无成片裸露土地；</w:t>
                  </w:r>
                </w:p>
              </w:tc>
              <w:tc>
                <w:tcPr>
                  <w:tcW w:w="1695" w:type="pct"/>
                  <w:tcBorders>
                    <w:top w:val="single" w:color="auto" w:sz="4" w:space="0"/>
                    <w:left w:val="single" w:color="auto" w:sz="4" w:space="0"/>
                    <w:bottom w:val="single" w:color="auto" w:sz="4" w:space="0"/>
                    <w:right w:val="single" w:color="auto" w:sz="4" w:space="0"/>
                  </w:tcBorders>
                  <w:vAlign w:val="center"/>
                </w:tcPr>
                <w:p w14:paraId="326351A3">
                  <w:pPr>
                    <w:pStyle w:val="124"/>
                    <w:ind w:firstLine="420"/>
                    <w:rPr>
                      <w:rFonts w:hint="eastAsia"/>
                    </w:rPr>
                  </w:pPr>
                  <w:r>
                    <w:t>4</w:t>
                  </w:r>
                  <w:r>
                    <w:rPr>
                      <w:rFonts w:hint="eastAsia" w:ascii="宋体" w:hAnsi="宋体"/>
                    </w:rPr>
                    <w:t>、本项目厂区道路及车间地面硬化，车间地面、墙壁、设备顶部整洁无积尘；厂内地面全部硬化或绿化，无成片裸露土地。</w:t>
                  </w:r>
                </w:p>
              </w:tc>
              <w:tc>
                <w:tcPr>
                  <w:tcW w:w="505" w:type="pct"/>
                  <w:tcBorders>
                    <w:top w:val="single" w:color="auto" w:sz="4" w:space="0"/>
                    <w:left w:val="single" w:color="auto" w:sz="4" w:space="0"/>
                    <w:bottom w:val="single" w:color="auto" w:sz="4" w:space="0"/>
                    <w:right w:val="nil"/>
                  </w:tcBorders>
                  <w:vAlign w:val="center"/>
                </w:tcPr>
                <w:p w14:paraId="273F9689">
                  <w:pPr>
                    <w:pStyle w:val="123"/>
                  </w:pPr>
                  <w:r>
                    <w:rPr>
                      <w:rFonts w:ascii="宋体" w:hAnsi="宋体"/>
                    </w:rPr>
                    <w:t>满足</w:t>
                  </w:r>
                </w:p>
              </w:tc>
            </w:tr>
            <w:tr w14:paraId="08AD40C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12DA48F3">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5B2D3FFB">
                  <w:pPr>
                    <w:pStyle w:val="124"/>
                    <w:ind w:firstLine="420"/>
                  </w:pPr>
                  <w:r>
                    <w:rPr>
                      <w:rFonts w:hint="eastAsia"/>
                    </w:rPr>
                    <w:t>5.</w:t>
                  </w:r>
                  <w:r>
                    <w:rPr>
                      <w:rFonts w:hint="eastAsia" w:ascii="宋体" w:hAnsi="宋体"/>
                    </w:rPr>
                    <w:t>贮存易产生粉尘、</w:t>
                  </w:r>
                  <w:r>
                    <w:rPr>
                      <w:rFonts w:hint="eastAsia"/>
                    </w:rPr>
                    <w:t>VOCs</w:t>
                  </w:r>
                  <w:r>
                    <w:rPr>
                      <w:rFonts w:hint="eastAsia" w:ascii="宋体" w:hAnsi="宋体"/>
                    </w:rPr>
                    <w:t>和异味的危险废物贮存库，设有废气收集装置和废气处理设施。废气处理设施的排气筒高度不低于</w:t>
                  </w:r>
                  <w:r>
                    <w:rPr>
                      <w:rFonts w:hint="eastAsia"/>
                    </w:rPr>
                    <w:t>15m</w:t>
                  </w:r>
                  <w:r>
                    <w:rPr>
                      <w:rFonts w:hint="eastAsia" w:ascii="宋体" w:hAnsi="宋体"/>
                    </w:rPr>
                    <w:t>。</w:t>
                  </w:r>
                </w:p>
              </w:tc>
              <w:tc>
                <w:tcPr>
                  <w:tcW w:w="1695" w:type="pct"/>
                  <w:tcBorders>
                    <w:top w:val="single" w:color="auto" w:sz="4" w:space="0"/>
                    <w:left w:val="single" w:color="auto" w:sz="4" w:space="0"/>
                    <w:bottom w:val="single" w:color="auto" w:sz="4" w:space="0"/>
                    <w:right w:val="single" w:color="auto" w:sz="4" w:space="0"/>
                  </w:tcBorders>
                  <w:vAlign w:val="center"/>
                </w:tcPr>
                <w:p w14:paraId="71FC78BE">
                  <w:pPr>
                    <w:pStyle w:val="124"/>
                    <w:ind w:firstLine="420"/>
                  </w:pPr>
                  <w:r>
                    <w:rPr>
                      <w:rFonts w:hint="eastAsia"/>
                    </w:rPr>
                    <w:t>本项目危险废物主要是废油、废活性炭、废催化剂，废油和废活性炭均采用专用密闭容器收集后在危废暂存间暂存，不易</w:t>
                  </w:r>
                  <w:r>
                    <w:rPr>
                      <w:rFonts w:hint="eastAsia" w:ascii="宋体" w:hAnsi="宋体"/>
                    </w:rPr>
                    <w:t>产生粉尘、</w:t>
                  </w:r>
                  <w:r>
                    <w:rPr>
                      <w:rFonts w:hint="eastAsia"/>
                    </w:rPr>
                    <w:t>VOCs</w:t>
                  </w:r>
                  <w:r>
                    <w:rPr>
                      <w:rFonts w:hint="eastAsia" w:ascii="宋体" w:hAnsi="宋体"/>
                    </w:rPr>
                    <w:t>和异味。</w:t>
                  </w:r>
                </w:p>
              </w:tc>
              <w:tc>
                <w:tcPr>
                  <w:tcW w:w="505" w:type="pct"/>
                  <w:tcBorders>
                    <w:top w:val="single" w:color="auto" w:sz="4" w:space="0"/>
                    <w:left w:val="single" w:color="auto" w:sz="4" w:space="0"/>
                    <w:bottom w:val="single" w:color="auto" w:sz="4" w:space="0"/>
                    <w:right w:val="nil"/>
                  </w:tcBorders>
                  <w:vAlign w:val="center"/>
                </w:tcPr>
                <w:p w14:paraId="7DB0F4D3">
                  <w:pPr>
                    <w:pStyle w:val="123"/>
                    <w:rPr>
                      <w:highlight w:val="yellow"/>
                    </w:rPr>
                  </w:pPr>
                  <w:r>
                    <w:rPr>
                      <w:rFonts w:ascii="宋体" w:hAnsi="宋体"/>
                    </w:rPr>
                    <w:t>满足</w:t>
                  </w:r>
                </w:p>
              </w:tc>
            </w:tr>
            <w:tr w14:paraId="26B40786">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restart"/>
                  <w:tcBorders>
                    <w:top w:val="single" w:color="auto" w:sz="4" w:space="0"/>
                    <w:left w:val="nil"/>
                    <w:bottom w:val="single" w:color="auto" w:sz="4" w:space="0"/>
                    <w:right w:val="single" w:color="auto" w:sz="4" w:space="0"/>
                  </w:tcBorders>
                  <w:vAlign w:val="center"/>
                </w:tcPr>
                <w:p w14:paraId="799A20EC">
                  <w:pPr>
                    <w:pStyle w:val="123"/>
                  </w:pPr>
                  <w:r>
                    <w:rPr>
                      <w:rFonts w:ascii="宋体" w:hAnsi="宋体"/>
                    </w:rPr>
                    <w:t>排放限值</w:t>
                  </w:r>
                </w:p>
              </w:tc>
              <w:tc>
                <w:tcPr>
                  <w:tcW w:w="2136" w:type="pct"/>
                  <w:tcBorders>
                    <w:top w:val="single" w:color="auto" w:sz="4" w:space="0"/>
                    <w:left w:val="single" w:color="auto" w:sz="4" w:space="0"/>
                    <w:bottom w:val="single" w:color="auto" w:sz="4" w:space="0"/>
                    <w:right w:val="single" w:color="auto" w:sz="4" w:space="0"/>
                  </w:tcBorders>
                  <w:vAlign w:val="center"/>
                </w:tcPr>
                <w:p w14:paraId="28EE04C2">
                  <w:pPr>
                    <w:pStyle w:val="124"/>
                    <w:ind w:firstLine="420"/>
                  </w:pPr>
                  <w:r>
                    <w:rPr>
                      <w:rFonts w:hint="eastAsia"/>
                    </w:rPr>
                    <w:t>1.</w:t>
                  </w:r>
                  <w:r>
                    <w:rPr>
                      <w:rFonts w:hint="eastAsia" w:ascii="宋体" w:hAnsi="宋体"/>
                    </w:rPr>
                    <w:t>全厂有组织</w:t>
                  </w:r>
                  <w:r>
                    <w:rPr>
                      <w:rFonts w:hint="eastAsia"/>
                    </w:rPr>
                    <w:t>PM</w:t>
                  </w:r>
                  <w:r>
                    <w:rPr>
                      <w:rFonts w:hint="eastAsia" w:ascii="宋体" w:hAnsi="宋体"/>
                    </w:rPr>
                    <w:t>、</w:t>
                  </w:r>
                  <w:r>
                    <w:rPr>
                      <w:rFonts w:hint="eastAsia"/>
                    </w:rPr>
                    <w:t>NMHC</w:t>
                  </w:r>
                  <w:r>
                    <w:rPr>
                      <w:rFonts w:hint="eastAsia" w:ascii="宋体" w:hAnsi="宋体"/>
                    </w:rPr>
                    <w:t>有组织排放浓度分别不高于</w:t>
                  </w:r>
                  <w:r>
                    <w:rPr>
                      <w:rFonts w:hint="eastAsia"/>
                    </w:rPr>
                    <w:t>10</w:t>
                  </w:r>
                  <w:r>
                    <w:rPr>
                      <w:rFonts w:hint="eastAsia" w:ascii="宋体" w:hAnsi="宋体"/>
                    </w:rPr>
                    <w:t>、</w:t>
                  </w:r>
                  <w:r>
                    <w:rPr>
                      <w:rFonts w:hint="eastAsia"/>
                    </w:rPr>
                    <w:t>20mg/m</w:t>
                  </w:r>
                  <w:r>
                    <w:rPr>
                      <w:rFonts w:hint="eastAsia"/>
                      <w:vertAlign w:val="superscript"/>
                    </w:rPr>
                    <w:t>3</w:t>
                  </w:r>
                  <w:r>
                    <w:rPr>
                      <w:rFonts w:hint="eastAsia" w:ascii="宋体" w:hAnsi="宋体"/>
                    </w:rPr>
                    <w:t>；</w:t>
                  </w:r>
                </w:p>
              </w:tc>
              <w:tc>
                <w:tcPr>
                  <w:tcW w:w="1695" w:type="pct"/>
                  <w:vMerge w:val="restart"/>
                  <w:tcBorders>
                    <w:top w:val="single" w:color="auto" w:sz="4" w:space="0"/>
                    <w:left w:val="single" w:color="auto" w:sz="4" w:space="0"/>
                    <w:bottom w:val="single" w:color="auto" w:sz="4" w:space="0"/>
                    <w:right w:val="single" w:color="auto" w:sz="4" w:space="0"/>
                  </w:tcBorders>
                  <w:vAlign w:val="center"/>
                </w:tcPr>
                <w:p w14:paraId="4E39463D">
                  <w:pPr>
                    <w:pStyle w:val="124"/>
                    <w:ind w:firstLine="420"/>
                  </w:pPr>
                  <w:r>
                    <w:rPr>
                      <w:rFonts w:hint="eastAsia" w:ascii="宋体" w:hAnsi="宋体"/>
                    </w:rPr>
                    <w:t>本项目不涉及颗粒物，熔融挤出工序产生的有机废气经工业高压静电油烟净化装置</w:t>
                  </w:r>
                  <w:r>
                    <w:t>+</w:t>
                  </w:r>
                  <w:r>
                    <w:rPr>
                      <w:rFonts w:hint="eastAsia" w:ascii="宋体" w:hAnsi="宋体"/>
                    </w:rPr>
                    <w:t>活性炭吸附</w:t>
                  </w:r>
                  <w:r>
                    <w:t>/</w:t>
                  </w:r>
                  <w:r>
                    <w:rPr>
                      <w:rFonts w:hint="eastAsia" w:ascii="宋体" w:hAnsi="宋体"/>
                    </w:rPr>
                    <w:t>脱附</w:t>
                  </w:r>
                  <w:r>
                    <w:t>-</w:t>
                  </w:r>
                  <w:r>
                    <w:rPr>
                      <w:rFonts w:hint="eastAsia" w:ascii="宋体" w:hAnsi="宋体"/>
                    </w:rPr>
                    <w:t>催化燃烧装置处理后满足</w:t>
                  </w:r>
                  <w:r>
                    <w:t>NMHC</w:t>
                  </w:r>
                  <w:r>
                    <w:rPr>
                      <w:rFonts w:hint="eastAsia" w:ascii="宋体" w:hAnsi="宋体"/>
                    </w:rPr>
                    <w:t>不高于</w:t>
                  </w:r>
                  <w:r>
                    <w:t>10mg/</w:t>
                  </w:r>
                  <w:r>
                    <w:rPr>
                      <w:rFonts w:hint="eastAsia"/>
                    </w:rPr>
                    <w:t>m</w:t>
                  </w:r>
                  <w:r>
                    <w:rPr>
                      <w:rFonts w:hint="eastAsia"/>
                      <w:vertAlign w:val="superscript"/>
                    </w:rPr>
                    <w:t>3</w:t>
                  </w:r>
                  <w:r>
                    <w:rPr>
                      <w:rFonts w:hint="eastAsia" w:ascii="宋体" w:hAnsi="宋体"/>
                    </w:rPr>
                    <w:t>限值要求，</w:t>
                  </w:r>
                  <w:r>
                    <w:t>VOCs</w:t>
                  </w:r>
                  <w:r>
                    <w:rPr>
                      <w:rFonts w:hint="eastAsia" w:ascii="宋体" w:hAnsi="宋体"/>
                    </w:rPr>
                    <w:t>治理设施同步运行率和去除率能够达到</w:t>
                  </w:r>
                  <w:r>
                    <w:t>100%</w:t>
                  </w:r>
                  <w:r>
                    <w:rPr>
                      <w:rFonts w:hint="eastAsia" w:ascii="宋体" w:hAnsi="宋体"/>
                    </w:rPr>
                    <w:t>和</w:t>
                  </w:r>
                  <w:r>
                    <w:t>80%</w:t>
                  </w:r>
                  <w:r>
                    <w:rPr>
                      <w:rFonts w:hint="eastAsia" w:ascii="宋体" w:hAnsi="宋体"/>
                    </w:rPr>
                    <w:t>。</w:t>
                  </w:r>
                </w:p>
              </w:tc>
              <w:tc>
                <w:tcPr>
                  <w:tcW w:w="505" w:type="pct"/>
                  <w:vMerge w:val="restart"/>
                  <w:tcBorders>
                    <w:top w:val="single" w:color="auto" w:sz="4" w:space="0"/>
                    <w:left w:val="single" w:color="auto" w:sz="4" w:space="0"/>
                    <w:bottom w:val="single" w:color="auto" w:sz="4" w:space="0"/>
                    <w:right w:val="nil"/>
                  </w:tcBorders>
                  <w:vAlign w:val="center"/>
                </w:tcPr>
                <w:p w14:paraId="0648821B">
                  <w:pPr>
                    <w:pStyle w:val="123"/>
                  </w:pPr>
                  <w:r>
                    <w:rPr>
                      <w:rFonts w:ascii="宋体" w:hAnsi="宋体"/>
                    </w:rPr>
                    <w:t>满足</w:t>
                  </w:r>
                </w:p>
              </w:tc>
            </w:tr>
            <w:tr w14:paraId="118F01D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63915E9E">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5AE7C36A">
                  <w:pPr>
                    <w:pStyle w:val="124"/>
                    <w:ind w:firstLine="420"/>
                  </w:pPr>
                  <w:r>
                    <w:rPr>
                      <w:rFonts w:hint="eastAsia"/>
                    </w:rPr>
                    <w:t>2.VOCs</w:t>
                  </w:r>
                  <w:r>
                    <w:rPr>
                      <w:rFonts w:hint="eastAsia" w:ascii="宋体" w:hAnsi="宋体"/>
                    </w:rPr>
                    <w:t>治理设施去除率达到</w:t>
                  </w:r>
                  <w:r>
                    <w:rPr>
                      <w:rFonts w:hint="eastAsia"/>
                    </w:rPr>
                    <w:t>80%</w:t>
                  </w:r>
                  <w:r>
                    <w:rPr>
                      <w:rFonts w:hint="eastAsia" w:ascii="宋体" w:hAnsi="宋体"/>
                    </w:rPr>
                    <w:t>及以上；去除率确实达不到的，生产车间或生产设备的无组织排放监控点</w:t>
                  </w:r>
                  <w:r>
                    <w:rPr>
                      <w:rFonts w:hint="eastAsia"/>
                    </w:rPr>
                    <w:t>NMHC</w:t>
                  </w:r>
                  <w:r>
                    <w:rPr>
                      <w:rFonts w:hint="eastAsia" w:ascii="宋体" w:hAnsi="宋体"/>
                    </w:rPr>
                    <w:t>浓度低于</w:t>
                  </w:r>
                  <w:r>
                    <w:rPr>
                      <w:rFonts w:hint="eastAsia"/>
                    </w:rPr>
                    <w:t>4mg/m</w:t>
                  </w:r>
                  <w:r>
                    <w:rPr>
                      <w:rFonts w:hint="eastAsia"/>
                      <w:vertAlign w:val="superscript"/>
                    </w:rPr>
                    <w:t>3</w:t>
                  </w:r>
                  <w:r>
                    <w:rPr>
                      <w:rFonts w:hint="eastAsia"/>
                    </w:rPr>
                    <w:t>,</w:t>
                  </w:r>
                  <w:r>
                    <w:rPr>
                      <w:rFonts w:hint="eastAsia" w:ascii="宋体" w:hAnsi="宋体"/>
                    </w:rPr>
                    <w:t>企业边界</w:t>
                  </w:r>
                  <w:r>
                    <w:rPr>
                      <w:rFonts w:hint="eastAsia"/>
                    </w:rPr>
                    <w:t>1hNMHC</w:t>
                  </w:r>
                  <w:r>
                    <w:rPr>
                      <w:rFonts w:hint="eastAsia" w:ascii="宋体" w:hAnsi="宋体"/>
                    </w:rPr>
                    <w:t>平均浓度低于</w:t>
                  </w:r>
                  <w:r>
                    <w:rPr>
                      <w:rFonts w:hint="eastAsia"/>
                    </w:rPr>
                    <w:t>2mg/m</w:t>
                  </w:r>
                  <w:r>
                    <w:rPr>
                      <w:rFonts w:hint="eastAsia"/>
                      <w:vertAlign w:val="superscript"/>
                    </w:rPr>
                    <w:t>3</w:t>
                  </w:r>
                  <w:r>
                    <w:rPr>
                      <w:rFonts w:hint="eastAsia" w:ascii="宋体" w:hAnsi="宋体"/>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840A88E">
                  <w:pPr>
                    <w:widowControl/>
                    <w:jc w:val="left"/>
                    <w:rPr>
                      <w:bCs/>
                      <w:color w:val="000000"/>
                      <w:kern w:val="0"/>
                      <w:szCs w:val="21"/>
                    </w:rPr>
                  </w:pPr>
                </w:p>
              </w:tc>
              <w:tc>
                <w:tcPr>
                  <w:tcW w:w="0" w:type="auto"/>
                  <w:vMerge w:val="continue"/>
                  <w:tcBorders>
                    <w:top w:val="single" w:color="auto" w:sz="4" w:space="0"/>
                    <w:left w:val="single" w:color="auto" w:sz="4" w:space="0"/>
                    <w:bottom w:val="single" w:color="auto" w:sz="4" w:space="0"/>
                    <w:right w:val="nil"/>
                  </w:tcBorders>
                  <w:vAlign w:val="center"/>
                </w:tcPr>
                <w:p w14:paraId="338F0A68">
                  <w:pPr>
                    <w:widowControl/>
                    <w:jc w:val="left"/>
                    <w:rPr>
                      <w:bCs/>
                      <w:color w:val="000000"/>
                      <w:kern w:val="0"/>
                      <w:szCs w:val="21"/>
                    </w:rPr>
                  </w:pPr>
                </w:p>
              </w:tc>
            </w:tr>
            <w:tr w14:paraId="5C88E3F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36454DB9">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1BC37EC9">
                  <w:pPr>
                    <w:pStyle w:val="124"/>
                    <w:ind w:firstLine="420"/>
                  </w:pPr>
                  <w:r>
                    <w:rPr>
                      <w:rFonts w:hint="eastAsia"/>
                    </w:rPr>
                    <w:t>3.</w:t>
                  </w:r>
                  <w:r>
                    <w:rPr>
                      <w:rFonts w:hint="eastAsia" w:ascii="宋体" w:hAnsi="宋体"/>
                    </w:rPr>
                    <w:t>锅炉烟气排放限值要求：燃气锅炉</w:t>
                  </w:r>
                  <w:r>
                    <w:rPr>
                      <w:rFonts w:hint="eastAsia"/>
                    </w:rPr>
                    <w:t>PM</w:t>
                  </w:r>
                  <w:r>
                    <w:rPr>
                      <w:rFonts w:hint="eastAsia" w:ascii="宋体" w:hAnsi="宋体"/>
                    </w:rPr>
                    <w:t>、</w:t>
                  </w:r>
                  <w:r>
                    <w:rPr>
                      <w:rFonts w:hint="eastAsia"/>
                    </w:rPr>
                    <w:t>SO</w:t>
                  </w:r>
                  <w:r>
                    <w:rPr>
                      <w:rFonts w:hint="eastAsia"/>
                      <w:vertAlign w:val="subscript"/>
                    </w:rPr>
                    <w:t>2</w:t>
                  </w:r>
                  <w:r>
                    <w:rPr>
                      <w:rFonts w:hint="eastAsia" w:ascii="宋体" w:hAnsi="宋体"/>
                    </w:rPr>
                    <w:t>、</w:t>
                  </w:r>
                  <w:r>
                    <w:rPr>
                      <w:rFonts w:hint="eastAsia"/>
                    </w:rPr>
                    <w:t>NOx</w:t>
                  </w:r>
                  <w:r>
                    <w:rPr>
                      <w:rFonts w:hint="eastAsia" w:ascii="宋体" w:hAnsi="宋体"/>
                    </w:rPr>
                    <w:t>排放浓度分别不高于：</w:t>
                  </w:r>
                  <w:r>
                    <w:rPr>
                      <w:rFonts w:hint="eastAsia"/>
                    </w:rPr>
                    <w:t>5</w:t>
                  </w:r>
                  <w:r>
                    <w:rPr>
                      <w:rFonts w:hint="eastAsia" w:ascii="宋体" w:hAnsi="宋体"/>
                    </w:rPr>
                    <w:t>、</w:t>
                  </w:r>
                  <w:r>
                    <w:rPr>
                      <w:rFonts w:hint="eastAsia"/>
                    </w:rPr>
                    <w:t>10</w:t>
                  </w:r>
                  <w:r>
                    <w:rPr>
                      <w:rFonts w:hint="eastAsia" w:ascii="宋体" w:hAnsi="宋体"/>
                    </w:rPr>
                    <w:t>、</w:t>
                  </w:r>
                  <w:r>
                    <w:rPr>
                      <w:rFonts w:hint="eastAsia"/>
                    </w:rPr>
                    <w:t>50/30</w:t>
                  </w:r>
                  <w:r>
                    <w:rPr>
                      <w:rFonts w:hint="eastAsia" w:ascii="宋体" w:hAnsi="宋体"/>
                      <w:vertAlign w:val="superscript"/>
                    </w:rPr>
                    <w:t>【</w:t>
                  </w:r>
                  <w:r>
                    <w:rPr>
                      <w:rFonts w:hint="eastAsia"/>
                      <w:vertAlign w:val="superscript"/>
                    </w:rPr>
                    <w:t>2</w:t>
                  </w:r>
                  <w:r>
                    <w:rPr>
                      <w:rFonts w:hint="eastAsia" w:ascii="宋体" w:hAnsi="宋体"/>
                      <w:vertAlign w:val="superscript"/>
                    </w:rPr>
                    <w:t>】</w:t>
                  </w:r>
                  <w:r>
                    <w:rPr>
                      <w:rFonts w:hint="eastAsia"/>
                    </w:rPr>
                    <w:t>mg/m</w:t>
                  </w:r>
                  <w:r>
                    <w:rPr>
                      <w:rFonts w:hint="eastAsia"/>
                      <w:vertAlign w:val="superscript"/>
                    </w:rPr>
                    <w:t>3</w:t>
                  </w:r>
                  <w:r>
                    <w:rPr>
                      <w:rFonts w:hint="eastAsia" w:ascii="宋体" w:hAnsi="宋体"/>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5E3B0EC">
                  <w:pPr>
                    <w:widowControl/>
                    <w:jc w:val="left"/>
                    <w:rPr>
                      <w:bCs/>
                      <w:color w:val="000000"/>
                      <w:kern w:val="0"/>
                      <w:szCs w:val="21"/>
                    </w:rPr>
                  </w:pPr>
                </w:p>
              </w:tc>
              <w:tc>
                <w:tcPr>
                  <w:tcW w:w="0" w:type="auto"/>
                  <w:vMerge w:val="continue"/>
                  <w:tcBorders>
                    <w:top w:val="single" w:color="auto" w:sz="4" w:space="0"/>
                    <w:left w:val="single" w:color="auto" w:sz="4" w:space="0"/>
                    <w:bottom w:val="single" w:color="auto" w:sz="4" w:space="0"/>
                    <w:right w:val="nil"/>
                  </w:tcBorders>
                  <w:vAlign w:val="center"/>
                </w:tcPr>
                <w:p w14:paraId="7B0727A5">
                  <w:pPr>
                    <w:widowControl/>
                    <w:jc w:val="left"/>
                    <w:rPr>
                      <w:bCs/>
                      <w:color w:val="000000"/>
                      <w:kern w:val="0"/>
                      <w:szCs w:val="21"/>
                    </w:rPr>
                  </w:pPr>
                </w:p>
              </w:tc>
            </w:tr>
            <w:tr w14:paraId="34C1ED20">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restart"/>
                  <w:tcBorders>
                    <w:top w:val="single" w:color="auto" w:sz="4" w:space="0"/>
                    <w:left w:val="nil"/>
                    <w:bottom w:val="single" w:color="auto" w:sz="4" w:space="0"/>
                    <w:right w:val="single" w:color="auto" w:sz="4" w:space="0"/>
                  </w:tcBorders>
                  <w:vAlign w:val="center"/>
                </w:tcPr>
                <w:p w14:paraId="0A9D9043">
                  <w:pPr>
                    <w:pStyle w:val="123"/>
                  </w:pPr>
                  <w:r>
                    <w:rPr>
                      <w:rFonts w:hint="eastAsia" w:ascii="宋体" w:hAnsi="宋体"/>
                    </w:rPr>
                    <w:t>监测监控水平</w:t>
                  </w:r>
                </w:p>
              </w:tc>
              <w:tc>
                <w:tcPr>
                  <w:tcW w:w="2136" w:type="pct"/>
                  <w:tcBorders>
                    <w:top w:val="single" w:color="auto" w:sz="4" w:space="0"/>
                    <w:left w:val="single" w:color="auto" w:sz="4" w:space="0"/>
                    <w:bottom w:val="single" w:color="auto" w:sz="4" w:space="0"/>
                    <w:right w:val="single" w:color="auto" w:sz="4" w:space="0"/>
                  </w:tcBorders>
                  <w:vAlign w:val="center"/>
                </w:tcPr>
                <w:p w14:paraId="59B4098B">
                  <w:pPr>
                    <w:pStyle w:val="124"/>
                    <w:ind w:firstLine="420"/>
                  </w:pPr>
                  <w:r>
                    <w:rPr>
                      <w:rFonts w:hint="eastAsia"/>
                    </w:rPr>
                    <w:t>1.</w:t>
                  </w:r>
                  <w:r>
                    <w:rPr>
                      <w:rFonts w:hint="eastAsia" w:ascii="宋体" w:hAnsi="宋体"/>
                    </w:rPr>
                    <w:t>有组织排放口按排污许可、环境影响评价或环境现状评估等要求安装烟气排放自动监控设施（</w:t>
                  </w:r>
                  <w:r>
                    <w:rPr>
                      <w:rFonts w:hint="eastAsia"/>
                    </w:rPr>
                    <w:t>CEMS</w:t>
                  </w:r>
                  <w:r>
                    <w:rPr>
                      <w:rFonts w:hint="eastAsia" w:ascii="宋体" w:hAnsi="宋体"/>
                    </w:rPr>
                    <w:t>），并按要求与省厅联网；重点排污单位风量大于</w:t>
                  </w:r>
                  <w:r>
                    <w:rPr>
                      <w:rFonts w:hint="eastAsia"/>
                    </w:rPr>
                    <w:t>10000m</w:t>
                  </w:r>
                  <w:r>
                    <w:rPr>
                      <w:rFonts w:hint="eastAsia"/>
                      <w:vertAlign w:val="superscript"/>
                    </w:rPr>
                    <w:t>3</w:t>
                  </w:r>
                  <w:r>
                    <w:rPr>
                      <w:rFonts w:hint="eastAsia"/>
                    </w:rPr>
                    <w:t>/h</w:t>
                  </w:r>
                  <w:r>
                    <w:rPr>
                      <w:rFonts w:hint="eastAsia" w:ascii="宋体" w:hAnsi="宋体"/>
                    </w:rPr>
                    <w:t>的主要排放口安装</w:t>
                  </w:r>
                  <w:r>
                    <w:rPr>
                      <w:rFonts w:hint="eastAsia"/>
                    </w:rPr>
                    <w:t>NMHC</w:t>
                  </w:r>
                  <w:r>
                    <w:rPr>
                      <w:rFonts w:hint="eastAsia" w:ascii="宋体" w:hAnsi="宋体"/>
                    </w:rPr>
                    <w:t>在线监测设施（</w:t>
                  </w:r>
                  <w:r>
                    <w:rPr>
                      <w:rFonts w:hint="eastAsia"/>
                    </w:rPr>
                    <w:t>FID</w:t>
                  </w:r>
                  <w:r>
                    <w:rPr>
                      <w:rFonts w:hint="eastAsia" w:ascii="宋体" w:hAnsi="宋体"/>
                    </w:rPr>
                    <w:t>检测器）并按要求与省厅联网；其他企业</w:t>
                  </w:r>
                  <w:r>
                    <w:rPr>
                      <w:rFonts w:hint="eastAsia"/>
                    </w:rPr>
                    <w:t>NMHC</w:t>
                  </w:r>
                  <w:r>
                    <w:rPr>
                      <w:rFonts w:hint="eastAsia" w:ascii="宋体" w:hAnsi="宋体"/>
                    </w:rPr>
                    <w:t>初始排放速率大于</w:t>
                  </w:r>
                  <w:r>
                    <w:rPr>
                      <w:rFonts w:hint="eastAsia"/>
                    </w:rPr>
                    <w:t>2kg/h</w:t>
                  </w:r>
                  <w:r>
                    <w:rPr>
                      <w:rFonts w:hint="eastAsia" w:ascii="宋体" w:hAnsi="宋体"/>
                    </w:rPr>
                    <w:t>且排放口风量大于</w:t>
                  </w:r>
                  <w:r>
                    <w:rPr>
                      <w:rFonts w:hint="eastAsia"/>
                    </w:rPr>
                    <w:t>20000m</w:t>
                  </w:r>
                  <w:r>
                    <w:rPr>
                      <w:rFonts w:hint="eastAsia"/>
                      <w:vertAlign w:val="superscript"/>
                    </w:rPr>
                    <w:t>3</w:t>
                  </w:r>
                  <w:r>
                    <w:rPr>
                      <w:rFonts w:hint="eastAsia"/>
                    </w:rPr>
                    <w:t>/h</w:t>
                  </w:r>
                  <w:r>
                    <w:rPr>
                      <w:rFonts w:hint="eastAsia" w:ascii="宋体" w:hAnsi="宋体"/>
                    </w:rPr>
                    <w:t>的废气排放口安装</w:t>
                  </w:r>
                  <w:r>
                    <w:rPr>
                      <w:rFonts w:hint="eastAsia"/>
                    </w:rPr>
                    <w:t>NMHC</w:t>
                  </w:r>
                  <w:r>
                    <w:rPr>
                      <w:rFonts w:hint="eastAsia" w:ascii="宋体" w:hAnsi="宋体"/>
                    </w:rPr>
                    <w:t>在线监测设施（</w:t>
                  </w:r>
                  <w:r>
                    <w:rPr>
                      <w:rFonts w:hint="eastAsia"/>
                    </w:rPr>
                    <w:t>FID</w:t>
                  </w:r>
                  <w:r>
                    <w:rPr>
                      <w:rFonts w:hint="eastAsia" w:ascii="宋体" w:hAnsi="宋体"/>
                    </w:rPr>
                    <w:t>检测器），并按要求与省厅联网；在线监测数据至少保存最近</w:t>
                  </w:r>
                  <w:r>
                    <w:rPr>
                      <w:rFonts w:hint="eastAsia"/>
                    </w:rPr>
                    <w:t>12</w:t>
                  </w:r>
                  <w:r>
                    <w:rPr>
                      <w:rFonts w:hint="eastAsia" w:ascii="宋体" w:hAnsi="宋体"/>
                    </w:rPr>
                    <w:t>个月的</w:t>
                  </w:r>
                  <w:r>
                    <w:rPr>
                      <w:rFonts w:hint="eastAsia"/>
                    </w:rPr>
                    <w:t>1</w:t>
                  </w:r>
                  <w:r>
                    <w:rPr>
                      <w:rFonts w:hint="eastAsia" w:ascii="宋体" w:hAnsi="宋体"/>
                    </w:rPr>
                    <w:t>分钟均值、</w:t>
                  </w:r>
                  <w:r>
                    <w:rPr>
                      <w:rFonts w:hint="eastAsia"/>
                    </w:rPr>
                    <w:t>36</w:t>
                  </w:r>
                  <w:r>
                    <w:rPr>
                      <w:rFonts w:hint="eastAsia" w:ascii="宋体" w:hAnsi="宋体"/>
                    </w:rPr>
                    <w:t>个月的</w:t>
                  </w:r>
                  <w:r>
                    <w:rPr>
                      <w:rFonts w:hint="eastAsia"/>
                    </w:rPr>
                    <w:t>1</w:t>
                  </w:r>
                  <w:r>
                    <w:rPr>
                      <w:rFonts w:hint="eastAsia" w:ascii="宋体" w:hAnsi="宋体"/>
                    </w:rPr>
                    <w:t>小时均值及</w:t>
                  </w:r>
                  <w:r>
                    <w:rPr>
                      <w:rFonts w:hint="eastAsia"/>
                    </w:rPr>
                    <w:t>60</w:t>
                  </w:r>
                  <w:r>
                    <w:rPr>
                      <w:rFonts w:hint="eastAsia" w:ascii="宋体" w:hAnsi="宋体"/>
                    </w:rPr>
                    <w:t>个月的日均值和月均值。（投产或安装时间不满一年以上的企业，以现有数据为准）；</w:t>
                  </w:r>
                </w:p>
              </w:tc>
              <w:tc>
                <w:tcPr>
                  <w:tcW w:w="1695" w:type="pct"/>
                  <w:tcBorders>
                    <w:top w:val="single" w:color="auto" w:sz="4" w:space="0"/>
                    <w:left w:val="single" w:color="auto" w:sz="4" w:space="0"/>
                    <w:bottom w:val="single" w:color="auto" w:sz="4" w:space="0"/>
                    <w:right w:val="single" w:color="auto" w:sz="4" w:space="0"/>
                  </w:tcBorders>
                  <w:vAlign w:val="center"/>
                </w:tcPr>
                <w:p w14:paraId="6ADF03F8">
                  <w:pPr>
                    <w:pStyle w:val="124"/>
                    <w:ind w:firstLine="420"/>
                    <w:rPr>
                      <w:rFonts w:hint="eastAsia"/>
                    </w:rPr>
                  </w:pPr>
                  <w:r>
                    <w:rPr>
                      <w:rFonts w:hint="eastAsia"/>
                    </w:rPr>
                    <w:t>本项目排放口不属于主要排放口。</w:t>
                  </w:r>
                </w:p>
              </w:tc>
              <w:tc>
                <w:tcPr>
                  <w:tcW w:w="505" w:type="pct"/>
                  <w:tcBorders>
                    <w:top w:val="single" w:color="auto" w:sz="4" w:space="0"/>
                    <w:left w:val="single" w:color="auto" w:sz="4" w:space="0"/>
                    <w:bottom w:val="single" w:color="auto" w:sz="4" w:space="0"/>
                    <w:right w:val="nil"/>
                  </w:tcBorders>
                  <w:vAlign w:val="center"/>
                </w:tcPr>
                <w:p w14:paraId="08A81F35">
                  <w:pPr>
                    <w:pStyle w:val="123"/>
                  </w:pPr>
                  <w:r>
                    <w:rPr>
                      <w:rFonts w:ascii="宋体" w:hAnsi="宋体"/>
                    </w:rPr>
                    <w:t>满足</w:t>
                  </w:r>
                </w:p>
              </w:tc>
            </w:tr>
            <w:tr w14:paraId="73E9A26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0EB2B94C">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797B55D3">
                  <w:pPr>
                    <w:pStyle w:val="124"/>
                    <w:ind w:firstLine="420"/>
                  </w:pPr>
                  <w:r>
                    <w:rPr>
                      <w:rFonts w:hint="eastAsia"/>
                    </w:rPr>
                    <w:t>2.</w:t>
                  </w:r>
                  <w:r>
                    <w:rPr>
                      <w:rFonts w:hint="eastAsia" w:ascii="宋体" w:hAnsi="宋体"/>
                    </w:rPr>
                    <w:t>按生态环境部门要求规范设置废气排放口标志牌、二维码标识和采样平台、采样孔；各废气排放口按照排污许可要求开展自行监测。</w:t>
                  </w:r>
                </w:p>
              </w:tc>
              <w:tc>
                <w:tcPr>
                  <w:tcW w:w="1695" w:type="pct"/>
                  <w:tcBorders>
                    <w:top w:val="single" w:color="auto" w:sz="4" w:space="0"/>
                    <w:left w:val="single" w:color="auto" w:sz="4" w:space="0"/>
                    <w:bottom w:val="single" w:color="auto" w:sz="4" w:space="0"/>
                    <w:right w:val="single" w:color="auto" w:sz="4" w:space="0"/>
                  </w:tcBorders>
                  <w:vAlign w:val="center"/>
                </w:tcPr>
                <w:p w14:paraId="0B9868DB">
                  <w:pPr>
                    <w:pStyle w:val="124"/>
                    <w:ind w:firstLine="420"/>
                    <w:rPr>
                      <w:rFonts w:hint="eastAsia"/>
                    </w:rPr>
                  </w:pPr>
                  <w:r>
                    <w:rPr>
                      <w:rFonts w:hint="eastAsia" w:ascii="宋体" w:hAnsi="宋体"/>
                    </w:rPr>
                    <w:t>本项目建成后将按要求规范设置废气排放口标志牌、二维码标识和采样平台、采样孔；各废气排放口按照排污许可要求开展自行监测。</w:t>
                  </w:r>
                </w:p>
              </w:tc>
              <w:tc>
                <w:tcPr>
                  <w:tcW w:w="505" w:type="pct"/>
                  <w:tcBorders>
                    <w:top w:val="single" w:color="auto" w:sz="4" w:space="0"/>
                    <w:left w:val="single" w:color="auto" w:sz="4" w:space="0"/>
                    <w:bottom w:val="single" w:color="auto" w:sz="4" w:space="0"/>
                    <w:right w:val="nil"/>
                  </w:tcBorders>
                  <w:vAlign w:val="center"/>
                </w:tcPr>
                <w:p w14:paraId="70FB4DEE">
                  <w:pPr>
                    <w:pStyle w:val="123"/>
                  </w:pPr>
                  <w:r>
                    <w:rPr>
                      <w:rFonts w:ascii="宋体" w:hAnsi="宋体"/>
                    </w:rPr>
                    <w:t>满足</w:t>
                  </w:r>
                </w:p>
              </w:tc>
            </w:tr>
            <w:tr w14:paraId="13919C99">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pct"/>
                  <w:vMerge w:val="restart"/>
                  <w:tcBorders>
                    <w:top w:val="single" w:color="auto" w:sz="4" w:space="0"/>
                    <w:left w:val="nil"/>
                    <w:bottom w:val="single" w:color="auto" w:sz="4" w:space="0"/>
                    <w:right w:val="single" w:color="auto" w:sz="4" w:space="0"/>
                  </w:tcBorders>
                  <w:vAlign w:val="center"/>
                </w:tcPr>
                <w:p w14:paraId="6507A4C7">
                  <w:pPr>
                    <w:pStyle w:val="123"/>
                  </w:pPr>
                  <w:r>
                    <w:rPr>
                      <w:rFonts w:hint="eastAsia" w:ascii="宋体" w:hAnsi="宋体"/>
                    </w:rPr>
                    <w:t>环境管理水平</w:t>
                  </w:r>
                </w:p>
              </w:tc>
              <w:tc>
                <w:tcPr>
                  <w:tcW w:w="332" w:type="pct"/>
                  <w:tcBorders>
                    <w:top w:val="single" w:color="auto" w:sz="4" w:space="0"/>
                    <w:left w:val="single" w:color="auto" w:sz="4" w:space="0"/>
                    <w:bottom w:val="single" w:color="auto" w:sz="4" w:space="0"/>
                    <w:right w:val="single" w:color="auto" w:sz="4" w:space="0"/>
                  </w:tcBorders>
                  <w:vAlign w:val="center"/>
                </w:tcPr>
                <w:p w14:paraId="71494706">
                  <w:pPr>
                    <w:pStyle w:val="123"/>
                  </w:pPr>
                  <w:r>
                    <w:rPr>
                      <w:rFonts w:hint="eastAsia" w:ascii="宋体" w:hAnsi="宋体"/>
                    </w:rPr>
                    <w:t>环保档案</w:t>
                  </w:r>
                </w:p>
              </w:tc>
              <w:tc>
                <w:tcPr>
                  <w:tcW w:w="2136" w:type="pct"/>
                  <w:tcBorders>
                    <w:top w:val="single" w:color="auto" w:sz="4" w:space="0"/>
                    <w:left w:val="single" w:color="auto" w:sz="4" w:space="0"/>
                    <w:bottom w:val="single" w:color="auto" w:sz="4" w:space="0"/>
                    <w:right w:val="single" w:color="auto" w:sz="4" w:space="0"/>
                  </w:tcBorders>
                  <w:vAlign w:val="center"/>
                </w:tcPr>
                <w:p w14:paraId="23369E21">
                  <w:pPr>
                    <w:pStyle w:val="124"/>
                    <w:ind w:firstLine="420"/>
                  </w:pPr>
                  <w:r>
                    <w:rPr>
                      <w:rFonts w:hint="eastAsia"/>
                    </w:rPr>
                    <w:t>1.</w:t>
                  </w:r>
                  <w:r>
                    <w:rPr>
                      <w:rFonts w:hint="eastAsia" w:ascii="宋体" w:hAnsi="宋体"/>
                    </w:rPr>
                    <w:t>环评批复文件和竣工环保验收文件或环境现状评估备案证明；</w:t>
                  </w:r>
                </w:p>
                <w:p w14:paraId="015D0FAA">
                  <w:pPr>
                    <w:pStyle w:val="124"/>
                    <w:ind w:firstLine="420"/>
                    <w:rPr>
                      <w:rFonts w:hint="eastAsia"/>
                    </w:rPr>
                  </w:pPr>
                  <w:r>
                    <w:rPr>
                      <w:rFonts w:hint="eastAsia"/>
                    </w:rPr>
                    <w:t>2.</w:t>
                  </w:r>
                  <w:r>
                    <w:rPr>
                      <w:rFonts w:hint="eastAsia" w:ascii="宋体" w:hAnsi="宋体"/>
                    </w:rPr>
                    <w:t>国家版排污许可证；</w:t>
                  </w:r>
                </w:p>
                <w:p w14:paraId="6A2E9EA8">
                  <w:pPr>
                    <w:pStyle w:val="124"/>
                    <w:ind w:firstLine="420"/>
                    <w:rPr>
                      <w:rFonts w:hint="eastAsia"/>
                    </w:rPr>
                  </w:pPr>
                  <w:r>
                    <w:rPr>
                      <w:rFonts w:hint="eastAsia"/>
                    </w:rPr>
                    <w:t>3.</w:t>
                  </w:r>
                  <w:r>
                    <w:rPr>
                      <w:rFonts w:hint="eastAsia" w:ascii="宋体" w:hAnsi="宋体"/>
                    </w:rPr>
                    <w:t>环境管理制度（有组织、无组织排放长效管理机制，主要包括日常操作规程、岗位责任制度、污染物排放公示制度和定期巡查维护制度等）；</w:t>
                  </w:r>
                </w:p>
                <w:p w14:paraId="19899230">
                  <w:pPr>
                    <w:pStyle w:val="124"/>
                    <w:ind w:firstLine="420"/>
                    <w:rPr>
                      <w:rFonts w:hint="eastAsia"/>
                    </w:rPr>
                  </w:pPr>
                  <w:r>
                    <w:rPr>
                      <w:rFonts w:hint="eastAsia"/>
                    </w:rPr>
                    <w:t>4.</w:t>
                  </w:r>
                  <w:r>
                    <w:rPr>
                      <w:rFonts w:hint="eastAsia" w:ascii="宋体" w:hAnsi="宋体"/>
                    </w:rPr>
                    <w:t>废气污染治理设施稳定运行管理规程；</w:t>
                  </w:r>
                </w:p>
                <w:p w14:paraId="4DBA03BE">
                  <w:pPr>
                    <w:pStyle w:val="124"/>
                    <w:ind w:firstLine="420"/>
                    <w:rPr>
                      <w:rFonts w:hint="eastAsia"/>
                    </w:rPr>
                  </w:pPr>
                  <w:r>
                    <w:rPr>
                      <w:rFonts w:hint="eastAsia"/>
                    </w:rPr>
                    <w:t>5.</w:t>
                  </w:r>
                  <w:r>
                    <w:rPr>
                      <w:rFonts w:hint="eastAsia" w:ascii="宋体" w:hAnsi="宋体"/>
                    </w:rPr>
                    <w:t>一年内废气监测报告（符合排污许可证监测项目及频次要求）。</w:t>
                  </w:r>
                </w:p>
              </w:tc>
              <w:tc>
                <w:tcPr>
                  <w:tcW w:w="1695" w:type="pct"/>
                  <w:tcBorders>
                    <w:top w:val="single" w:color="auto" w:sz="4" w:space="0"/>
                    <w:left w:val="single" w:color="auto" w:sz="4" w:space="0"/>
                    <w:bottom w:val="single" w:color="auto" w:sz="4" w:space="0"/>
                    <w:right w:val="single" w:color="auto" w:sz="4" w:space="0"/>
                  </w:tcBorders>
                  <w:vAlign w:val="center"/>
                </w:tcPr>
                <w:p w14:paraId="742E74B9">
                  <w:pPr>
                    <w:pStyle w:val="124"/>
                    <w:ind w:firstLine="420"/>
                    <w:rPr>
                      <w:rFonts w:hint="eastAsia"/>
                    </w:rPr>
                  </w:pPr>
                  <w:r>
                    <w:rPr>
                      <w:rFonts w:hint="eastAsia"/>
                    </w:rPr>
                    <w:t>1</w:t>
                  </w:r>
                  <w:r>
                    <w:rPr>
                      <w:rFonts w:hint="eastAsia" w:ascii="宋体" w:hAnsi="宋体"/>
                    </w:rPr>
                    <w:t>、</w:t>
                  </w:r>
                  <w:r>
                    <w:rPr>
                      <w:rFonts w:ascii="宋体" w:hAnsi="宋体"/>
                    </w:rPr>
                    <w:t>本项目环评批复文件将按要求存档备查</w:t>
                  </w:r>
                  <w:r>
                    <w:rPr>
                      <w:rFonts w:hint="eastAsia" w:ascii="宋体" w:hAnsi="宋体"/>
                    </w:rPr>
                    <w:t>；</w:t>
                  </w:r>
                </w:p>
                <w:p w14:paraId="3540E235">
                  <w:pPr>
                    <w:pStyle w:val="124"/>
                    <w:ind w:firstLine="420"/>
                    <w:rPr>
                      <w:rFonts w:hint="eastAsia"/>
                    </w:rPr>
                  </w:pPr>
                  <w:r>
                    <w:rPr>
                      <w:rFonts w:hint="eastAsia"/>
                    </w:rPr>
                    <w:t>2</w:t>
                  </w:r>
                  <w:r>
                    <w:rPr>
                      <w:rFonts w:hint="eastAsia" w:ascii="宋体" w:hAnsi="宋体"/>
                    </w:rPr>
                    <w:t>、</w:t>
                  </w:r>
                  <w:r>
                    <w:rPr>
                      <w:rFonts w:ascii="宋体" w:hAnsi="宋体"/>
                    </w:rPr>
                    <w:t>本项目将按要求取得国家版排污许可证，并按时完成季度、年度执行报告</w:t>
                  </w:r>
                  <w:r>
                    <w:rPr>
                      <w:rFonts w:hint="eastAsia" w:ascii="宋体" w:hAnsi="宋体"/>
                    </w:rPr>
                    <w:t>；</w:t>
                  </w:r>
                </w:p>
                <w:p w14:paraId="1532CE9E">
                  <w:pPr>
                    <w:pStyle w:val="124"/>
                    <w:ind w:firstLine="420"/>
                    <w:rPr>
                      <w:rFonts w:hint="eastAsia"/>
                    </w:rPr>
                  </w:pPr>
                  <w:r>
                    <w:rPr>
                      <w:rFonts w:hint="eastAsia"/>
                    </w:rPr>
                    <w:t>3</w:t>
                  </w:r>
                  <w:r>
                    <w:rPr>
                      <w:rFonts w:hint="eastAsia" w:ascii="宋体" w:hAnsi="宋体"/>
                    </w:rPr>
                    <w:t>、本项目建成后将按要求制定环境管理制度；</w:t>
                  </w:r>
                </w:p>
                <w:p w14:paraId="592D4230">
                  <w:pPr>
                    <w:pStyle w:val="124"/>
                    <w:ind w:firstLine="420"/>
                    <w:rPr>
                      <w:rFonts w:hint="eastAsia"/>
                    </w:rPr>
                  </w:pPr>
                  <w:r>
                    <w:rPr>
                      <w:rFonts w:hint="eastAsia"/>
                    </w:rPr>
                    <w:t>4</w:t>
                  </w:r>
                  <w:r>
                    <w:rPr>
                      <w:rFonts w:hint="eastAsia" w:ascii="宋体" w:hAnsi="宋体"/>
                    </w:rPr>
                    <w:t>、</w:t>
                  </w:r>
                  <w:r>
                    <w:rPr>
                      <w:rFonts w:ascii="宋体" w:hAnsi="宋体"/>
                    </w:rPr>
                    <w:t>本项目将按要求制定环境管理制度</w:t>
                  </w:r>
                  <w:r>
                    <w:rPr>
                      <w:rFonts w:hint="eastAsia" w:ascii="宋体" w:hAnsi="宋体"/>
                    </w:rPr>
                    <w:t>；</w:t>
                  </w:r>
                </w:p>
                <w:p w14:paraId="38510D85">
                  <w:pPr>
                    <w:pStyle w:val="124"/>
                    <w:ind w:firstLine="420"/>
                    <w:rPr>
                      <w:rFonts w:hint="eastAsia"/>
                    </w:rPr>
                  </w:pPr>
                  <w:r>
                    <w:rPr>
                      <w:rFonts w:hint="eastAsia"/>
                    </w:rPr>
                    <w:t>5</w:t>
                  </w:r>
                  <w:r>
                    <w:rPr>
                      <w:rFonts w:hint="eastAsia" w:ascii="宋体" w:hAnsi="宋体"/>
                    </w:rPr>
                    <w:t>、</w:t>
                  </w:r>
                  <w:r>
                    <w:rPr>
                      <w:rFonts w:ascii="宋体" w:hAnsi="宋体"/>
                    </w:rPr>
                    <w:t>本项目建成后将按要求对一年内第三方废气监测报告存档备查。</w:t>
                  </w:r>
                </w:p>
              </w:tc>
              <w:tc>
                <w:tcPr>
                  <w:tcW w:w="505" w:type="pct"/>
                  <w:tcBorders>
                    <w:top w:val="single" w:color="auto" w:sz="4" w:space="0"/>
                    <w:left w:val="single" w:color="auto" w:sz="4" w:space="0"/>
                    <w:bottom w:val="single" w:color="auto" w:sz="4" w:space="0"/>
                    <w:right w:val="nil"/>
                  </w:tcBorders>
                  <w:vAlign w:val="center"/>
                </w:tcPr>
                <w:p w14:paraId="1880783E">
                  <w:pPr>
                    <w:pStyle w:val="123"/>
                  </w:pPr>
                  <w:r>
                    <w:rPr>
                      <w:rFonts w:ascii="宋体" w:hAnsi="宋体"/>
                    </w:rPr>
                    <w:t>满足</w:t>
                  </w:r>
                </w:p>
              </w:tc>
            </w:tr>
            <w:tr w14:paraId="7C25DF8B">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5431444A">
                  <w:pPr>
                    <w:widowControl/>
                    <w:jc w:val="left"/>
                    <w:rPr>
                      <w:bCs/>
                      <w:color w:val="000000"/>
                      <w:kern w:val="0"/>
                      <w:szCs w:val="21"/>
                    </w:rPr>
                  </w:pPr>
                </w:p>
              </w:tc>
              <w:tc>
                <w:tcPr>
                  <w:tcW w:w="332" w:type="pct"/>
                  <w:tcBorders>
                    <w:top w:val="single" w:color="auto" w:sz="4" w:space="0"/>
                    <w:left w:val="single" w:color="auto" w:sz="4" w:space="0"/>
                    <w:bottom w:val="single" w:color="auto" w:sz="4" w:space="0"/>
                    <w:right w:val="single" w:color="auto" w:sz="4" w:space="0"/>
                  </w:tcBorders>
                  <w:vAlign w:val="center"/>
                </w:tcPr>
                <w:p w14:paraId="0115B942">
                  <w:pPr>
                    <w:pStyle w:val="123"/>
                    <w:rPr>
                      <w:rFonts w:hint="eastAsia"/>
                    </w:rPr>
                  </w:pPr>
                  <w:r>
                    <w:rPr>
                      <w:rFonts w:hint="eastAsia" w:ascii="宋体" w:hAnsi="宋体"/>
                    </w:rPr>
                    <w:t>台账记录</w:t>
                  </w:r>
                </w:p>
              </w:tc>
              <w:tc>
                <w:tcPr>
                  <w:tcW w:w="2136" w:type="pct"/>
                  <w:tcBorders>
                    <w:top w:val="single" w:color="auto" w:sz="4" w:space="0"/>
                    <w:left w:val="single" w:color="auto" w:sz="4" w:space="0"/>
                    <w:bottom w:val="single" w:color="auto" w:sz="4" w:space="0"/>
                    <w:right w:val="single" w:color="auto" w:sz="4" w:space="0"/>
                  </w:tcBorders>
                  <w:vAlign w:val="center"/>
                </w:tcPr>
                <w:p w14:paraId="3970BB72">
                  <w:pPr>
                    <w:pStyle w:val="124"/>
                    <w:ind w:firstLine="420"/>
                  </w:pPr>
                  <w:r>
                    <w:rPr>
                      <w:rFonts w:hint="eastAsia"/>
                    </w:rPr>
                    <w:t>1.</w:t>
                  </w:r>
                  <w:r>
                    <w:rPr>
                      <w:rFonts w:hint="eastAsia" w:ascii="宋体" w:hAnsi="宋体"/>
                    </w:rPr>
                    <w:t>生产设施运行管理信息（生产时间、运行负荷、产品产量等）；</w:t>
                  </w:r>
                </w:p>
                <w:p w14:paraId="34D3CD2C">
                  <w:pPr>
                    <w:pStyle w:val="124"/>
                    <w:ind w:firstLine="420"/>
                    <w:rPr>
                      <w:rFonts w:hint="eastAsia"/>
                    </w:rPr>
                  </w:pPr>
                  <w:r>
                    <w:rPr>
                      <w:rFonts w:hint="eastAsia"/>
                    </w:rPr>
                    <w:t>2.</w:t>
                  </w:r>
                  <w:r>
                    <w:rPr>
                      <w:rFonts w:hint="eastAsia" w:ascii="宋体" w:hAnsi="宋体"/>
                    </w:rPr>
                    <w:t>废气污染治理设施运行、维护、管理信息（包括但不限于废气收集系统和污染治理设施的名称规格、设计参数、运行参数、巡检记录、污染治理易耗品与药剂用量（吸附剂、催化剂、脱硫剂、脱硝剂、过滤耗材等）、操作记录以及维护记录、运行要求等）；</w:t>
                  </w:r>
                </w:p>
                <w:p w14:paraId="3C72DE3C">
                  <w:pPr>
                    <w:pStyle w:val="124"/>
                    <w:ind w:firstLine="420"/>
                    <w:rPr>
                      <w:rFonts w:hint="eastAsia"/>
                    </w:rPr>
                  </w:pPr>
                  <w:r>
                    <w:rPr>
                      <w:rFonts w:hint="eastAsia"/>
                    </w:rPr>
                    <w:t>3.</w:t>
                  </w:r>
                  <w:r>
                    <w:rPr>
                      <w:rFonts w:hint="eastAsia" w:ascii="宋体" w:hAnsi="宋体"/>
                    </w:rPr>
                    <w:t>监测记录信息（主要污染排放口废气排放记录等）；</w:t>
                  </w:r>
                </w:p>
                <w:p w14:paraId="1DC4880E">
                  <w:pPr>
                    <w:pStyle w:val="124"/>
                    <w:ind w:firstLine="420"/>
                    <w:rPr>
                      <w:rFonts w:hint="eastAsia"/>
                    </w:rPr>
                  </w:pPr>
                  <w:r>
                    <w:rPr>
                      <w:rFonts w:hint="eastAsia"/>
                    </w:rPr>
                    <w:t>4.</w:t>
                  </w:r>
                  <w:r>
                    <w:rPr>
                      <w:rFonts w:hint="eastAsia" w:ascii="宋体" w:hAnsi="宋体"/>
                    </w:rPr>
                    <w:t>主要原辅材料消耗记录；</w:t>
                  </w:r>
                </w:p>
                <w:p w14:paraId="17A435EA">
                  <w:pPr>
                    <w:pStyle w:val="124"/>
                    <w:ind w:firstLine="420"/>
                    <w:rPr>
                      <w:rFonts w:hint="eastAsia"/>
                    </w:rPr>
                  </w:pPr>
                  <w:r>
                    <w:rPr>
                      <w:rFonts w:hint="eastAsia"/>
                    </w:rPr>
                    <w:t>5.</w:t>
                  </w:r>
                  <w:r>
                    <w:rPr>
                      <w:rFonts w:hint="eastAsia" w:ascii="宋体" w:hAnsi="宋体"/>
                    </w:rPr>
                    <w:t>燃料消耗记录；</w:t>
                  </w:r>
                </w:p>
                <w:p w14:paraId="11B507A9">
                  <w:pPr>
                    <w:pStyle w:val="124"/>
                    <w:ind w:firstLine="420"/>
                    <w:rPr>
                      <w:rFonts w:hint="eastAsia"/>
                    </w:rPr>
                  </w:pPr>
                  <w:r>
                    <w:rPr>
                      <w:rFonts w:hint="eastAsia"/>
                    </w:rPr>
                    <w:t>6.</w:t>
                  </w:r>
                  <w:r>
                    <w:rPr>
                      <w:rFonts w:hint="eastAsia" w:ascii="宋体" w:hAnsi="宋体"/>
                    </w:rPr>
                    <w:t>固废、危废暂存、处理记录。</w:t>
                  </w:r>
                </w:p>
              </w:tc>
              <w:tc>
                <w:tcPr>
                  <w:tcW w:w="1695" w:type="pct"/>
                  <w:tcBorders>
                    <w:top w:val="single" w:color="auto" w:sz="4" w:space="0"/>
                    <w:left w:val="single" w:color="auto" w:sz="4" w:space="0"/>
                    <w:bottom w:val="single" w:color="auto" w:sz="4" w:space="0"/>
                    <w:right w:val="single" w:color="auto" w:sz="4" w:space="0"/>
                  </w:tcBorders>
                  <w:vAlign w:val="center"/>
                </w:tcPr>
                <w:p w14:paraId="68F393F7">
                  <w:pPr>
                    <w:pStyle w:val="124"/>
                    <w:ind w:firstLine="420"/>
                    <w:rPr>
                      <w:rFonts w:hint="eastAsia"/>
                    </w:rPr>
                  </w:pPr>
                  <w:r>
                    <w:rPr>
                      <w:rFonts w:hint="eastAsia"/>
                    </w:rPr>
                    <w:t>1</w:t>
                  </w:r>
                  <w:r>
                    <w:rPr>
                      <w:rFonts w:hint="eastAsia" w:ascii="宋体" w:hAnsi="宋体"/>
                    </w:rPr>
                    <w:t>、本项目建成后将建立完整生产管理台账；</w:t>
                  </w:r>
                </w:p>
                <w:p w14:paraId="63806610">
                  <w:pPr>
                    <w:pStyle w:val="124"/>
                    <w:ind w:firstLine="420"/>
                    <w:rPr>
                      <w:rFonts w:hint="eastAsia"/>
                    </w:rPr>
                  </w:pPr>
                  <w:r>
                    <w:rPr>
                      <w:rFonts w:hint="eastAsia"/>
                    </w:rPr>
                    <w:t>2</w:t>
                  </w:r>
                  <w:r>
                    <w:rPr>
                      <w:rFonts w:hint="eastAsia" w:ascii="宋体" w:hAnsi="宋体"/>
                    </w:rPr>
                    <w:t>、本项目建成后将建立废气污染治理设施运行、维护、管理信息台账；</w:t>
                  </w:r>
                </w:p>
                <w:p w14:paraId="4FD84CE7">
                  <w:pPr>
                    <w:pStyle w:val="124"/>
                    <w:ind w:firstLine="420"/>
                    <w:rPr>
                      <w:rFonts w:hint="eastAsia"/>
                    </w:rPr>
                  </w:pPr>
                  <w:r>
                    <w:rPr>
                      <w:rFonts w:hint="eastAsia"/>
                    </w:rPr>
                    <w:t>3</w:t>
                  </w:r>
                  <w:r>
                    <w:rPr>
                      <w:rFonts w:hint="eastAsia" w:ascii="宋体" w:hAnsi="宋体"/>
                    </w:rPr>
                    <w:t>、本项目建成后将建立监测记录信息台账；</w:t>
                  </w:r>
                </w:p>
                <w:p w14:paraId="380B12A2">
                  <w:pPr>
                    <w:pStyle w:val="124"/>
                    <w:ind w:firstLine="420"/>
                    <w:rPr>
                      <w:rFonts w:hint="eastAsia"/>
                    </w:rPr>
                  </w:pPr>
                  <w:r>
                    <w:rPr>
                      <w:rFonts w:hint="eastAsia"/>
                    </w:rPr>
                    <w:t>4</w:t>
                  </w:r>
                  <w:r>
                    <w:rPr>
                      <w:rFonts w:hint="eastAsia" w:ascii="宋体" w:hAnsi="宋体"/>
                    </w:rPr>
                    <w:t>、本项目建成后将建立主要原辅材料消耗记录台账；</w:t>
                  </w:r>
                </w:p>
                <w:p w14:paraId="1BD6AD17">
                  <w:pPr>
                    <w:pStyle w:val="124"/>
                    <w:ind w:firstLine="420"/>
                    <w:rPr>
                      <w:rFonts w:hint="eastAsia"/>
                    </w:rPr>
                  </w:pPr>
                  <w:r>
                    <w:rPr>
                      <w:rFonts w:hint="eastAsia"/>
                    </w:rPr>
                    <w:t>5</w:t>
                  </w:r>
                  <w:r>
                    <w:rPr>
                      <w:rFonts w:hint="eastAsia" w:ascii="宋体" w:hAnsi="宋体"/>
                    </w:rPr>
                    <w:t>、本项目建成后将建立燃料消耗记录；</w:t>
                  </w:r>
                </w:p>
                <w:p w14:paraId="15BB15D6">
                  <w:pPr>
                    <w:pStyle w:val="124"/>
                    <w:ind w:firstLine="420"/>
                    <w:rPr>
                      <w:rFonts w:hint="eastAsia"/>
                    </w:rPr>
                  </w:pPr>
                  <w:r>
                    <w:rPr>
                      <w:rFonts w:hint="eastAsia"/>
                    </w:rPr>
                    <w:t>6</w:t>
                  </w:r>
                  <w:r>
                    <w:rPr>
                      <w:rFonts w:hint="eastAsia" w:ascii="宋体" w:hAnsi="宋体"/>
                    </w:rPr>
                    <w:t>、本项目建成后将建立固废、危废暂存、处理记录；</w:t>
                  </w:r>
                </w:p>
              </w:tc>
              <w:tc>
                <w:tcPr>
                  <w:tcW w:w="505" w:type="pct"/>
                  <w:tcBorders>
                    <w:top w:val="single" w:color="auto" w:sz="4" w:space="0"/>
                    <w:left w:val="single" w:color="auto" w:sz="4" w:space="0"/>
                    <w:bottom w:val="single" w:color="auto" w:sz="4" w:space="0"/>
                    <w:right w:val="nil"/>
                  </w:tcBorders>
                  <w:vAlign w:val="center"/>
                </w:tcPr>
                <w:p w14:paraId="45417B59">
                  <w:pPr>
                    <w:pStyle w:val="123"/>
                  </w:pPr>
                  <w:r>
                    <w:rPr>
                      <w:rFonts w:ascii="宋体" w:hAnsi="宋体"/>
                    </w:rPr>
                    <w:t>满足</w:t>
                  </w:r>
                </w:p>
              </w:tc>
            </w:tr>
            <w:tr w14:paraId="00C10B8F">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op w:val="single" w:color="auto" w:sz="4" w:space="0"/>
                    <w:left w:val="nil"/>
                    <w:bottom w:val="single" w:color="auto" w:sz="4" w:space="0"/>
                    <w:right w:val="single" w:color="auto" w:sz="4" w:space="0"/>
                  </w:tcBorders>
                  <w:vAlign w:val="center"/>
                </w:tcPr>
                <w:p w14:paraId="53FDCC02">
                  <w:pPr>
                    <w:widowControl/>
                    <w:jc w:val="left"/>
                    <w:rPr>
                      <w:bCs/>
                      <w:color w:val="000000"/>
                      <w:kern w:val="0"/>
                      <w:szCs w:val="21"/>
                    </w:rPr>
                  </w:pPr>
                </w:p>
              </w:tc>
              <w:tc>
                <w:tcPr>
                  <w:tcW w:w="332" w:type="pct"/>
                  <w:tcBorders>
                    <w:top w:val="single" w:color="auto" w:sz="4" w:space="0"/>
                    <w:left w:val="single" w:color="auto" w:sz="4" w:space="0"/>
                    <w:bottom w:val="single" w:color="auto" w:sz="4" w:space="0"/>
                    <w:right w:val="single" w:color="auto" w:sz="4" w:space="0"/>
                  </w:tcBorders>
                  <w:vAlign w:val="center"/>
                </w:tcPr>
                <w:p w14:paraId="4A8853F3">
                  <w:pPr>
                    <w:pStyle w:val="123"/>
                  </w:pPr>
                  <w:r>
                    <w:rPr>
                      <w:rFonts w:hint="eastAsia" w:ascii="宋体" w:hAnsi="宋体"/>
                    </w:rPr>
                    <w:t>人员配置</w:t>
                  </w:r>
                </w:p>
              </w:tc>
              <w:tc>
                <w:tcPr>
                  <w:tcW w:w="2136" w:type="pct"/>
                  <w:tcBorders>
                    <w:top w:val="single" w:color="auto" w:sz="4" w:space="0"/>
                    <w:left w:val="single" w:color="auto" w:sz="4" w:space="0"/>
                    <w:bottom w:val="single" w:color="auto" w:sz="4" w:space="0"/>
                    <w:right w:val="single" w:color="auto" w:sz="4" w:space="0"/>
                  </w:tcBorders>
                  <w:vAlign w:val="center"/>
                </w:tcPr>
                <w:p w14:paraId="6B096857">
                  <w:pPr>
                    <w:pStyle w:val="124"/>
                    <w:ind w:firstLine="420"/>
                  </w:pPr>
                  <w:r>
                    <w:rPr>
                      <w:rFonts w:hint="eastAsia" w:ascii="宋体" w:hAnsi="宋体"/>
                    </w:rPr>
                    <w:t>配备专职环保人员，并具备相应的环境管理能力（包括但不限于学历、培训、从业经验等）。</w:t>
                  </w:r>
                </w:p>
              </w:tc>
              <w:tc>
                <w:tcPr>
                  <w:tcW w:w="1695" w:type="pct"/>
                  <w:tcBorders>
                    <w:top w:val="single" w:color="auto" w:sz="4" w:space="0"/>
                    <w:left w:val="single" w:color="auto" w:sz="4" w:space="0"/>
                    <w:bottom w:val="single" w:color="auto" w:sz="4" w:space="0"/>
                    <w:right w:val="single" w:color="auto" w:sz="4" w:space="0"/>
                  </w:tcBorders>
                  <w:vAlign w:val="center"/>
                </w:tcPr>
                <w:p w14:paraId="62F4D45B">
                  <w:pPr>
                    <w:pStyle w:val="124"/>
                    <w:ind w:firstLine="420"/>
                    <w:rPr>
                      <w:rFonts w:hint="eastAsia"/>
                    </w:rPr>
                  </w:pPr>
                  <w:r>
                    <w:rPr>
                      <w:rFonts w:hint="eastAsia" w:ascii="宋体" w:hAnsi="宋体"/>
                    </w:rPr>
                    <w:t>本项目建成后按要求设置环保部门，配备专职环保人员，并具备相应的环境管理能力</w:t>
                  </w:r>
                </w:p>
              </w:tc>
              <w:tc>
                <w:tcPr>
                  <w:tcW w:w="505" w:type="pct"/>
                  <w:tcBorders>
                    <w:top w:val="single" w:color="auto" w:sz="4" w:space="0"/>
                    <w:left w:val="single" w:color="auto" w:sz="4" w:space="0"/>
                    <w:bottom w:val="single" w:color="auto" w:sz="4" w:space="0"/>
                    <w:right w:val="nil"/>
                  </w:tcBorders>
                  <w:vAlign w:val="center"/>
                </w:tcPr>
                <w:p w14:paraId="65837F8C">
                  <w:pPr>
                    <w:pStyle w:val="123"/>
                  </w:pPr>
                  <w:r>
                    <w:rPr>
                      <w:rFonts w:ascii="宋体" w:hAnsi="宋体"/>
                    </w:rPr>
                    <w:t>满足</w:t>
                  </w:r>
                </w:p>
              </w:tc>
            </w:tr>
            <w:tr w14:paraId="25A7EA15">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vMerge w:val="restart"/>
                  <w:tcBorders>
                    <w:top w:val="single" w:color="auto" w:sz="4" w:space="0"/>
                    <w:left w:val="nil"/>
                    <w:bottom w:val="single" w:color="auto" w:sz="4" w:space="0"/>
                    <w:right w:val="single" w:color="auto" w:sz="4" w:space="0"/>
                  </w:tcBorders>
                  <w:vAlign w:val="center"/>
                </w:tcPr>
                <w:p w14:paraId="08E51D6E">
                  <w:pPr>
                    <w:pStyle w:val="123"/>
                  </w:pPr>
                  <w:r>
                    <w:rPr>
                      <w:rFonts w:ascii="宋体" w:hAnsi="宋体"/>
                    </w:rPr>
                    <w:t>运输方式</w:t>
                  </w:r>
                </w:p>
              </w:tc>
              <w:tc>
                <w:tcPr>
                  <w:tcW w:w="2136" w:type="pct"/>
                  <w:tcBorders>
                    <w:top w:val="single" w:color="auto" w:sz="4" w:space="0"/>
                    <w:left w:val="single" w:color="auto" w:sz="4" w:space="0"/>
                    <w:bottom w:val="single" w:color="auto" w:sz="4" w:space="0"/>
                    <w:right w:val="single" w:color="auto" w:sz="4" w:space="0"/>
                  </w:tcBorders>
                  <w:vAlign w:val="center"/>
                </w:tcPr>
                <w:p w14:paraId="58A6CC71">
                  <w:pPr>
                    <w:pStyle w:val="124"/>
                    <w:ind w:firstLine="420"/>
                  </w:pPr>
                  <w:r>
                    <w:rPr>
                      <w:rFonts w:hint="eastAsia"/>
                    </w:rPr>
                    <w:t>1.</w:t>
                  </w:r>
                  <w:r>
                    <w:rPr>
                      <w:rFonts w:hint="eastAsia" w:ascii="宋体" w:hAnsi="宋体"/>
                    </w:rPr>
                    <w:t>物料、产品运输全部使用国五及以上排放标准的重型载货车辆（重型燃气车辆达到国六排放标准）或新能源车辆；</w:t>
                  </w:r>
                </w:p>
              </w:tc>
              <w:tc>
                <w:tcPr>
                  <w:tcW w:w="1695" w:type="pct"/>
                  <w:vMerge w:val="restart"/>
                  <w:tcBorders>
                    <w:top w:val="single" w:color="auto" w:sz="4" w:space="0"/>
                    <w:left w:val="single" w:color="auto" w:sz="4" w:space="0"/>
                    <w:bottom w:val="single" w:color="auto" w:sz="4" w:space="0"/>
                    <w:right w:val="single" w:color="auto" w:sz="4" w:space="0"/>
                  </w:tcBorders>
                  <w:vAlign w:val="center"/>
                </w:tcPr>
                <w:p w14:paraId="11FDFB55">
                  <w:pPr>
                    <w:pStyle w:val="124"/>
                    <w:ind w:firstLine="420"/>
                  </w:pPr>
                  <w:r>
                    <w:rPr>
                      <w:rFonts w:hint="eastAsia" w:ascii="宋体" w:hAnsi="宋体"/>
                    </w:rPr>
                    <w:t>本项目建成后物料公路运输全部使用达到国五及以上排放标准重型载货车辆（含燃气）或新能源车辆；厂内运输车辆全部达到国五及以上排放标准（含燃气）或使用新能源车辆；厂内非道路移动机械全部达到国三及以上排放标准或使用新能源机械。</w:t>
                  </w:r>
                </w:p>
              </w:tc>
              <w:tc>
                <w:tcPr>
                  <w:tcW w:w="505" w:type="pct"/>
                  <w:vMerge w:val="restart"/>
                  <w:tcBorders>
                    <w:top w:val="single" w:color="auto" w:sz="4" w:space="0"/>
                    <w:left w:val="single" w:color="auto" w:sz="4" w:space="0"/>
                    <w:bottom w:val="single" w:color="auto" w:sz="4" w:space="0"/>
                    <w:right w:val="nil"/>
                  </w:tcBorders>
                  <w:vAlign w:val="center"/>
                </w:tcPr>
                <w:p w14:paraId="579FB9CE">
                  <w:pPr>
                    <w:pStyle w:val="123"/>
                  </w:pPr>
                  <w:r>
                    <w:rPr>
                      <w:rFonts w:ascii="宋体" w:hAnsi="宋体"/>
                    </w:rPr>
                    <w:t>满足</w:t>
                  </w:r>
                </w:p>
              </w:tc>
            </w:tr>
            <w:tr w14:paraId="71C77EA7">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35CBDDBA">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690607F4">
                  <w:pPr>
                    <w:pStyle w:val="124"/>
                    <w:ind w:firstLine="420"/>
                  </w:pPr>
                  <w:r>
                    <w:rPr>
                      <w:rFonts w:hint="eastAsia"/>
                    </w:rPr>
                    <w:t>2.</w:t>
                  </w:r>
                  <w:r>
                    <w:rPr>
                      <w:rFonts w:hint="eastAsia" w:ascii="宋体" w:hAnsi="宋体"/>
                    </w:rPr>
                    <w:t>厂内车辆全部达到国五及以上排放标准（重型燃气车辆达到国六排放标准）或使用新能源车辆；</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76BFE40">
                  <w:pPr>
                    <w:widowControl/>
                    <w:jc w:val="left"/>
                    <w:rPr>
                      <w:bCs/>
                      <w:color w:val="000000"/>
                      <w:kern w:val="0"/>
                      <w:szCs w:val="21"/>
                    </w:rPr>
                  </w:pPr>
                </w:p>
              </w:tc>
              <w:tc>
                <w:tcPr>
                  <w:tcW w:w="0" w:type="auto"/>
                  <w:vMerge w:val="continue"/>
                  <w:tcBorders>
                    <w:top w:val="single" w:color="auto" w:sz="4" w:space="0"/>
                    <w:left w:val="single" w:color="auto" w:sz="4" w:space="0"/>
                    <w:bottom w:val="single" w:color="auto" w:sz="4" w:space="0"/>
                    <w:right w:val="nil"/>
                  </w:tcBorders>
                  <w:vAlign w:val="center"/>
                </w:tcPr>
                <w:p w14:paraId="75059239">
                  <w:pPr>
                    <w:widowControl/>
                    <w:jc w:val="left"/>
                    <w:rPr>
                      <w:bCs/>
                      <w:color w:val="000000"/>
                      <w:kern w:val="0"/>
                      <w:szCs w:val="21"/>
                    </w:rPr>
                  </w:pPr>
                </w:p>
              </w:tc>
            </w:tr>
            <w:tr w14:paraId="35C44C7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Merge w:val="continue"/>
                  <w:tcBorders>
                    <w:top w:val="single" w:color="auto" w:sz="4" w:space="0"/>
                    <w:left w:val="nil"/>
                    <w:bottom w:val="single" w:color="auto" w:sz="4" w:space="0"/>
                    <w:right w:val="single" w:color="auto" w:sz="4" w:space="0"/>
                  </w:tcBorders>
                  <w:vAlign w:val="center"/>
                </w:tcPr>
                <w:p w14:paraId="0D52C6E1">
                  <w:pPr>
                    <w:widowControl/>
                    <w:jc w:val="left"/>
                    <w:rPr>
                      <w:bCs/>
                      <w:color w:val="000000"/>
                      <w:kern w:val="0"/>
                      <w:szCs w:val="21"/>
                    </w:rPr>
                  </w:pPr>
                </w:p>
              </w:tc>
              <w:tc>
                <w:tcPr>
                  <w:tcW w:w="2136" w:type="pct"/>
                  <w:tcBorders>
                    <w:top w:val="single" w:color="auto" w:sz="4" w:space="0"/>
                    <w:left w:val="single" w:color="auto" w:sz="4" w:space="0"/>
                    <w:bottom w:val="single" w:color="auto" w:sz="4" w:space="0"/>
                    <w:right w:val="single" w:color="auto" w:sz="4" w:space="0"/>
                  </w:tcBorders>
                  <w:vAlign w:val="center"/>
                </w:tcPr>
                <w:p w14:paraId="3BA4631B">
                  <w:pPr>
                    <w:pStyle w:val="124"/>
                    <w:ind w:firstLine="420"/>
                  </w:pPr>
                  <w:r>
                    <w:rPr>
                      <w:rFonts w:hint="eastAsia"/>
                    </w:rPr>
                    <w:t>3.</w:t>
                  </w:r>
                  <w:r>
                    <w:rPr>
                      <w:rFonts w:hint="eastAsia" w:ascii="宋体" w:hAnsi="宋体"/>
                    </w:rPr>
                    <w:t>厂内非道路移动机械达到国三及以上排放标准或使用新能源机械。</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C7AD395">
                  <w:pPr>
                    <w:widowControl/>
                    <w:jc w:val="left"/>
                    <w:rPr>
                      <w:bCs/>
                      <w:color w:val="000000"/>
                      <w:kern w:val="0"/>
                      <w:szCs w:val="21"/>
                    </w:rPr>
                  </w:pPr>
                </w:p>
              </w:tc>
              <w:tc>
                <w:tcPr>
                  <w:tcW w:w="0" w:type="auto"/>
                  <w:vMerge w:val="continue"/>
                  <w:tcBorders>
                    <w:top w:val="single" w:color="auto" w:sz="4" w:space="0"/>
                    <w:left w:val="single" w:color="auto" w:sz="4" w:space="0"/>
                    <w:bottom w:val="single" w:color="auto" w:sz="4" w:space="0"/>
                    <w:right w:val="nil"/>
                  </w:tcBorders>
                  <w:vAlign w:val="center"/>
                </w:tcPr>
                <w:p w14:paraId="7F13CD9F">
                  <w:pPr>
                    <w:widowControl/>
                    <w:jc w:val="left"/>
                    <w:rPr>
                      <w:bCs/>
                      <w:color w:val="000000"/>
                      <w:kern w:val="0"/>
                      <w:szCs w:val="21"/>
                    </w:rPr>
                  </w:pPr>
                </w:p>
              </w:tc>
            </w:tr>
            <w:tr w14:paraId="58B2C55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gridSpan w:val="2"/>
                  <w:tcBorders>
                    <w:top w:val="single" w:color="auto" w:sz="4" w:space="0"/>
                    <w:left w:val="nil"/>
                    <w:bottom w:val="single" w:color="auto" w:sz="4" w:space="0"/>
                    <w:right w:val="single" w:color="auto" w:sz="4" w:space="0"/>
                  </w:tcBorders>
                  <w:vAlign w:val="center"/>
                </w:tcPr>
                <w:p w14:paraId="46B5524F">
                  <w:pPr>
                    <w:pStyle w:val="123"/>
                  </w:pPr>
                  <w:r>
                    <w:rPr>
                      <w:rFonts w:hint="eastAsia" w:ascii="宋体" w:hAnsi="宋体"/>
                    </w:rPr>
                    <w:t>运输监管</w:t>
                  </w:r>
                </w:p>
              </w:tc>
              <w:tc>
                <w:tcPr>
                  <w:tcW w:w="2136" w:type="pct"/>
                  <w:tcBorders>
                    <w:top w:val="single" w:color="auto" w:sz="4" w:space="0"/>
                    <w:left w:val="single" w:color="auto" w:sz="4" w:space="0"/>
                    <w:bottom w:val="single" w:color="auto" w:sz="4" w:space="0"/>
                    <w:right w:val="single" w:color="auto" w:sz="4" w:space="0"/>
                  </w:tcBorders>
                  <w:vAlign w:val="center"/>
                </w:tcPr>
                <w:p w14:paraId="35237093">
                  <w:pPr>
                    <w:pStyle w:val="124"/>
                    <w:ind w:firstLine="420"/>
                  </w:pPr>
                  <w:r>
                    <w:rPr>
                      <w:rFonts w:hint="eastAsia" w:ascii="宋体" w:hAnsi="宋体"/>
                    </w:rPr>
                    <w:t>日均进出货物</w:t>
                  </w:r>
                  <w:r>
                    <w:rPr>
                      <w:rFonts w:hint="eastAsia"/>
                    </w:rPr>
                    <w:t>150</w:t>
                  </w:r>
                  <w:r>
                    <w:rPr>
                      <w:rFonts w:hint="eastAsia" w:ascii="宋体" w:hAnsi="宋体"/>
                    </w:rPr>
                    <w:t>吨（或载货车辆日进出</w:t>
                  </w:r>
                  <w:r>
                    <w:rPr>
                      <w:rFonts w:hint="eastAsia"/>
                    </w:rPr>
                    <w:t>10</w:t>
                  </w:r>
                  <w:r>
                    <w:rPr>
                      <w:rFonts w:hint="eastAsia" w:ascii="宋体" w:hAnsi="宋体"/>
                    </w:rPr>
                    <w:t>辆次）及以上（货物包括原料、辅料、燃料、产品和其他与生产相关物料）的企业，参照《重污染天气重点行业移动源应急管理技术指南》建立门禁视频监控系统和电子台账；其他企业安装车辆运输视频监控（数据能保存</w:t>
                  </w:r>
                  <w:r>
                    <w:rPr>
                      <w:rFonts w:hint="eastAsia"/>
                    </w:rPr>
                    <w:t>6</w:t>
                  </w:r>
                  <w:r>
                    <w:rPr>
                      <w:rFonts w:hint="eastAsia" w:ascii="宋体" w:hAnsi="宋体"/>
                    </w:rPr>
                    <w:t>个月），并建立车辆运输手工台账。</w:t>
                  </w:r>
                </w:p>
              </w:tc>
              <w:tc>
                <w:tcPr>
                  <w:tcW w:w="1695" w:type="pct"/>
                  <w:tcBorders>
                    <w:top w:val="single" w:color="auto" w:sz="4" w:space="0"/>
                    <w:left w:val="single" w:color="auto" w:sz="4" w:space="0"/>
                    <w:bottom w:val="single" w:color="auto" w:sz="4" w:space="0"/>
                    <w:right w:val="single" w:color="auto" w:sz="4" w:space="0"/>
                  </w:tcBorders>
                  <w:vAlign w:val="center"/>
                </w:tcPr>
                <w:p w14:paraId="2BA28302">
                  <w:pPr>
                    <w:pStyle w:val="124"/>
                    <w:ind w:firstLine="420"/>
                    <w:rPr>
                      <w:rFonts w:hint="eastAsia"/>
                    </w:rPr>
                  </w:pPr>
                  <w:r>
                    <w:rPr>
                      <w:rFonts w:hint="eastAsia" w:ascii="宋体" w:hAnsi="宋体"/>
                    </w:rPr>
                    <w:t>本项目建成后将参照《重污染天气重点行业移动源应急管理技术指南》建立门禁视频监控系统和电子台账；其他企业安装车辆运输视频监控（数据能保存</w:t>
                  </w:r>
                  <w:r>
                    <w:rPr>
                      <w:rFonts w:hint="eastAsia"/>
                    </w:rPr>
                    <w:t>6</w:t>
                  </w:r>
                  <w:r>
                    <w:rPr>
                      <w:rFonts w:hint="eastAsia" w:ascii="宋体" w:hAnsi="宋体"/>
                    </w:rPr>
                    <w:t>个月），并建立车辆运输手工台账。</w:t>
                  </w:r>
                </w:p>
              </w:tc>
              <w:tc>
                <w:tcPr>
                  <w:tcW w:w="505" w:type="pct"/>
                  <w:tcBorders>
                    <w:top w:val="single" w:color="auto" w:sz="4" w:space="0"/>
                    <w:left w:val="single" w:color="auto" w:sz="4" w:space="0"/>
                    <w:bottom w:val="single" w:color="auto" w:sz="4" w:space="0"/>
                    <w:right w:val="nil"/>
                  </w:tcBorders>
                  <w:vAlign w:val="center"/>
                </w:tcPr>
                <w:p w14:paraId="1488A1C5">
                  <w:pPr>
                    <w:pStyle w:val="123"/>
                  </w:pPr>
                  <w:r>
                    <w:rPr>
                      <w:rFonts w:ascii="宋体" w:hAnsi="宋体"/>
                    </w:rPr>
                    <w:t>满足</w:t>
                  </w:r>
                </w:p>
              </w:tc>
            </w:tr>
            <w:tr w14:paraId="5FC44B2D">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bottom w:val="single" w:color="000000" w:sz="8" w:space="0"/>
                    <w:right w:val="nil"/>
                  </w:tcBorders>
                  <w:vAlign w:val="center"/>
                </w:tcPr>
                <w:p w14:paraId="5D48FB49">
                  <w:pPr>
                    <w:pStyle w:val="125"/>
                    <w:widowControl w:val="0"/>
                    <w:ind w:firstLine="361"/>
                  </w:pPr>
                  <w:r>
                    <w:rPr>
                      <w:rFonts w:hint="eastAsia" w:ascii="宋体" w:hAnsi="宋体"/>
                    </w:rPr>
                    <w:t>备注【</w:t>
                  </w:r>
                  <w:r>
                    <w:rPr>
                      <w:rFonts w:hint="eastAsia"/>
                    </w:rPr>
                    <w:t>1</w:t>
                  </w:r>
                  <w:r>
                    <w:rPr>
                      <w:rFonts w:hint="eastAsia" w:ascii="宋体" w:hAnsi="宋体"/>
                    </w:rPr>
                    <w:t>】：使用再生料的企业是以再生塑料颗粒或其他企业废旧塑料为原料的企业，其中不包括利用自身边角料进行生产的企业。</w:t>
                  </w:r>
                </w:p>
                <w:p w14:paraId="53DCFC34">
                  <w:pPr>
                    <w:pStyle w:val="125"/>
                    <w:widowControl w:val="0"/>
                    <w:ind w:firstLine="361"/>
                    <w:rPr>
                      <w:rFonts w:hint="eastAsia"/>
                    </w:rPr>
                  </w:pPr>
                  <w:r>
                    <w:rPr>
                      <w:rFonts w:hint="eastAsia" w:ascii="宋体" w:hAnsi="宋体"/>
                    </w:rPr>
                    <w:t>备注【</w:t>
                  </w:r>
                  <w:r>
                    <w:rPr>
                      <w:rFonts w:hint="eastAsia"/>
                    </w:rPr>
                    <w:t>2</w:t>
                  </w:r>
                  <w:r>
                    <w:rPr>
                      <w:rFonts w:hint="eastAsia" w:ascii="宋体" w:hAnsi="宋体"/>
                    </w:rPr>
                    <w:t>】：</w:t>
                  </w:r>
                  <w:r>
                    <w:rPr>
                      <w:rFonts w:hint="eastAsia"/>
                    </w:rPr>
                    <w:t>2021</w:t>
                  </w:r>
                  <w:r>
                    <w:rPr>
                      <w:rFonts w:hint="eastAsia" w:ascii="宋体" w:hAnsi="宋体"/>
                    </w:rPr>
                    <w:t>年</w:t>
                  </w:r>
                  <w:r>
                    <w:rPr>
                      <w:rFonts w:hint="eastAsia"/>
                    </w:rPr>
                    <w:t>3</w:t>
                  </w:r>
                  <w:r>
                    <w:rPr>
                      <w:rFonts w:hint="eastAsia" w:ascii="宋体" w:hAnsi="宋体"/>
                    </w:rPr>
                    <w:t>月</w:t>
                  </w:r>
                  <w:r>
                    <w:rPr>
                      <w:rFonts w:hint="eastAsia"/>
                    </w:rPr>
                    <w:t>1</w:t>
                  </w:r>
                  <w:r>
                    <w:rPr>
                      <w:rFonts w:hint="eastAsia" w:ascii="宋体" w:hAnsi="宋体"/>
                    </w:rPr>
                    <w:t>日后新建的燃气锅炉和需要采取特别保护措施的区域，执行该排放限值。</w:t>
                  </w:r>
                </w:p>
              </w:tc>
            </w:tr>
          </w:tbl>
          <w:p w14:paraId="3BA0446E">
            <w:pPr>
              <w:pStyle w:val="28"/>
              <w:ind w:firstLine="480"/>
            </w:pPr>
            <w:r>
              <w:rPr>
                <w:rFonts w:hint="eastAsia"/>
              </w:rPr>
              <w:t>评价要求：本项目严格按照塑料制品A级企业要求进行建设，并积极接受生态环境管理部门的监督检查。</w:t>
            </w:r>
          </w:p>
          <w:p w14:paraId="2C5B8797">
            <w:pPr>
              <w:pStyle w:val="28"/>
              <w:ind w:firstLine="480"/>
            </w:pPr>
          </w:p>
          <w:p w14:paraId="569B5E48">
            <w:pPr>
              <w:pStyle w:val="28"/>
              <w:ind w:firstLine="480"/>
            </w:pPr>
          </w:p>
          <w:p w14:paraId="4B442E79">
            <w:pPr>
              <w:pStyle w:val="28"/>
              <w:ind w:firstLine="480"/>
            </w:pPr>
          </w:p>
          <w:p w14:paraId="4EEA93C1">
            <w:pPr>
              <w:pStyle w:val="28"/>
              <w:ind w:firstLine="480"/>
            </w:pPr>
          </w:p>
          <w:p w14:paraId="00F3DFED">
            <w:pPr>
              <w:pStyle w:val="28"/>
              <w:ind w:firstLine="480"/>
            </w:pPr>
          </w:p>
          <w:p w14:paraId="4E755C04">
            <w:pPr>
              <w:pStyle w:val="28"/>
              <w:ind w:firstLine="480"/>
            </w:pPr>
          </w:p>
          <w:p w14:paraId="53306A05">
            <w:pPr>
              <w:pStyle w:val="28"/>
              <w:ind w:firstLine="480"/>
            </w:pPr>
          </w:p>
          <w:p w14:paraId="1984C888">
            <w:pPr>
              <w:pStyle w:val="28"/>
              <w:ind w:firstLine="480"/>
            </w:pPr>
          </w:p>
          <w:p w14:paraId="2C0D8DFE">
            <w:pPr>
              <w:pStyle w:val="28"/>
              <w:ind w:firstLine="480"/>
            </w:pPr>
          </w:p>
          <w:p w14:paraId="55CF63CB">
            <w:pPr>
              <w:pStyle w:val="28"/>
              <w:ind w:firstLine="480"/>
            </w:pPr>
          </w:p>
          <w:p w14:paraId="3FCE4F1D">
            <w:pPr>
              <w:pStyle w:val="28"/>
              <w:ind w:firstLine="480"/>
            </w:pPr>
          </w:p>
          <w:p w14:paraId="550788B9">
            <w:pPr>
              <w:pStyle w:val="28"/>
              <w:ind w:firstLine="480"/>
            </w:pPr>
          </w:p>
          <w:p w14:paraId="4A207F53">
            <w:pPr>
              <w:pStyle w:val="28"/>
              <w:ind w:firstLine="480"/>
            </w:pPr>
          </w:p>
          <w:p w14:paraId="2434B854">
            <w:pPr>
              <w:pStyle w:val="28"/>
              <w:ind w:firstLine="480"/>
            </w:pPr>
          </w:p>
          <w:p w14:paraId="5AA4E332">
            <w:pPr>
              <w:pStyle w:val="28"/>
              <w:ind w:firstLine="480"/>
            </w:pPr>
          </w:p>
          <w:p w14:paraId="3C9F133D">
            <w:pPr>
              <w:pStyle w:val="28"/>
              <w:ind w:firstLine="480"/>
            </w:pPr>
          </w:p>
          <w:p w14:paraId="6DF2CAEE">
            <w:pPr>
              <w:pStyle w:val="28"/>
              <w:ind w:firstLine="480"/>
            </w:pPr>
          </w:p>
          <w:p w14:paraId="7AFB684C">
            <w:pPr>
              <w:pStyle w:val="28"/>
              <w:ind w:firstLine="480"/>
            </w:pPr>
          </w:p>
          <w:p w14:paraId="07B665F2">
            <w:pPr>
              <w:pStyle w:val="28"/>
              <w:ind w:firstLine="480"/>
            </w:pPr>
          </w:p>
        </w:tc>
      </w:tr>
    </w:tbl>
    <w:p w14:paraId="08B8DFFD">
      <w:pPr>
        <w:autoSpaceDE w:val="0"/>
        <w:autoSpaceDN w:val="0"/>
        <w:adjustRightInd w:val="0"/>
        <w:snapToGrid w:val="0"/>
        <w:rPr>
          <w:color w:val="000000" w:themeColor="text1"/>
          <w:kern w:val="0"/>
          <w:szCs w:val="21"/>
          <w14:textFill>
            <w14:solidFill>
              <w14:schemeClr w14:val="tx1"/>
            </w14:solidFill>
          </w14:textFill>
        </w:rPr>
        <w:sectPr>
          <w:pgSz w:w="11906" w:h="16838"/>
          <w:pgMar w:top="1701" w:right="1531" w:bottom="1701" w:left="1531" w:header="851" w:footer="1077" w:gutter="0"/>
          <w:cols w:space="720" w:num="1"/>
          <w:docGrid w:linePitch="312" w:charSpace="0"/>
        </w:sectPr>
      </w:pPr>
    </w:p>
    <w:p w14:paraId="025F0DBB">
      <w:pPr>
        <w:pStyle w:val="15"/>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二、建设项目工程分析</w:t>
      </w:r>
    </w:p>
    <w:tbl>
      <w:tblPr>
        <w:tblStyle w:val="20"/>
        <w:tblW w:w="9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48"/>
      </w:tblGrid>
      <w:tr w14:paraId="2273D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56" w:type="dxa"/>
            <w:vAlign w:val="center"/>
          </w:tcPr>
          <w:p w14:paraId="139E6A2C">
            <w:pPr>
              <w:pStyle w:val="15"/>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748" w:type="dxa"/>
          </w:tcPr>
          <w:p w14:paraId="3F5BC60C">
            <w:pPr>
              <w:pStyle w:val="28"/>
              <w:ind w:firstLine="482"/>
              <w:rPr>
                <w:b/>
                <w:bCs/>
              </w:rPr>
            </w:pPr>
            <w:r>
              <w:rPr>
                <w:b/>
                <w:bCs/>
              </w:rPr>
              <w:t>1、项目概况</w:t>
            </w:r>
          </w:p>
          <w:p w14:paraId="658B8492">
            <w:pPr>
              <w:pStyle w:val="28"/>
              <w:ind w:firstLine="480"/>
            </w:pPr>
            <w:r>
              <w:rPr>
                <w:rFonts w:hint="eastAsia"/>
              </w:rPr>
              <w:t>新乡市嘉福宝科技有限公司现有工程为年加工10000吨再生塑料颗粒建设项目，位于新乡市获嘉县仁爱路与新华街南段交叉口西北（产业集聚区二期4号）。根据市场调研，新乡市嘉福宝科技有限公司拟投资1</w:t>
            </w:r>
            <w:r>
              <w:t>000</w:t>
            </w:r>
            <w:r>
              <w:rPr>
                <w:rFonts w:hint="eastAsia"/>
              </w:rPr>
              <w:t>万元建设年加工2000吨再生塑料颗粒技术改造项目，该项目对现有工程部分老旧设备进行更换，不新增现有工程产能，主要为180型挤出机升级为230型挤出机（电圈加热改为电磁加热），破碎工序人工投料改为自动喂料机投料，提高安全环保及节能水平，同时新租赁车间建设年加工2000吨再生塑料颗粒扩建项目，该车间位于</w:t>
            </w:r>
            <w:r>
              <w:t>河南省新乡市获嘉县仁爱路与新华街南段交叉口西北产业集聚区二期1号</w:t>
            </w:r>
            <w:r>
              <w:rPr>
                <w:rFonts w:hint="eastAsia"/>
              </w:rPr>
              <w:t>（现有工程车间南侧1</w:t>
            </w:r>
            <w:r>
              <w:t>10</w:t>
            </w:r>
            <w:r>
              <w:rPr>
                <w:rFonts w:hint="eastAsia"/>
              </w:rPr>
              <w:t>m），西侧为新乡市徐氏游乐设备有限公司，东侧为空地，北侧为新乡市汇翔机械有限公司，南侧为仁爱路。</w:t>
            </w:r>
          </w:p>
          <w:p w14:paraId="3621E444">
            <w:pPr>
              <w:pStyle w:val="28"/>
              <w:ind w:firstLine="480"/>
            </w:pPr>
            <w:r>
              <w:rPr>
                <w:rFonts w:hint="eastAsia"/>
              </w:rPr>
              <w:t>具体情况见下图：</w:t>
            </w:r>
          </w:p>
          <w:p w14:paraId="57272B3C">
            <w:pPr>
              <w:pStyle w:val="92"/>
            </w:pPr>
            <w:r>
              <w:drawing>
                <wp:inline distT="0" distB="0" distL="0" distR="0">
                  <wp:extent cx="5917565" cy="3025140"/>
                  <wp:effectExtent l="9525" t="9525" r="16510" b="13335"/>
                  <wp:docPr id="969689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89307" name="图片 1"/>
                          <pic:cNvPicPr>
                            <a:picLocks noChangeAspect="1"/>
                          </pic:cNvPicPr>
                        </pic:nvPicPr>
                        <pic:blipFill>
                          <a:blip r:embed="rId17"/>
                          <a:stretch>
                            <a:fillRect/>
                          </a:stretch>
                        </pic:blipFill>
                        <pic:spPr>
                          <a:xfrm>
                            <a:off x="0" y="0"/>
                            <a:ext cx="5917565" cy="3029995"/>
                          </a:xfrm>
                          <a:prstGeom prst="rect">
                            <a:avLst/>
                          </a:prstGeom>
                          <a:ln>
                            <a:solidFill>
                              <a:schemeClr val="tx1"/>
                            </a:solidFill>
                          </a:ln>
                        </pic:spPr>
                      </pic:pic>
                    </a:graphicData>
                  </a:graphic>
                </wp:inline>
              </w:drawing>
            </w:r>
          </w:p>
          <w:p w14:paraId="7E1776D2">
            <w:pPr>
              <w:pStyle w:val="92"/>
            </w:pPr>
            <w:r>
              <w:rPr>
                <w:rFonts w:hint="eastAsia"/>
              </w:rPr>
              <w:t>图</w:t>
            </w:r>
            <w:r>
              <w:t xml:space="preserve">2    </w:t>
            </w:r>
            <w:r>
              <w:rPr>
                <w:rFonts w:hint="eastAsia"/>
              </w:rPr>
              <w:t>项目选址情况一览图</w:t>
            </w:r>
          </w:p>
          <w:p w14:paraId="52DA81A5">
            <w:pPr>
              <w:pStyle w:val="28"/>
              <w:ind w:firstLine="480"/>
            </w:pPr>
            <w:r>
              <w:rPr>
                <w:color w:val="000000" w:themeColor="text1"/>
                <w14:textFill>
                  <w14:solidFill>
                    <w14:schemeClr w14:val="tx1"/>
                  </w14:solidFill>
                </w14:textFill>
              </w:rPr>
              <w:t>项目基本情况见下表</w:t>
            </w:r>
            <w:r>
              <w:rPr>
                <w:rFonts w:hint="eastAsia"/>
                <w:color w:val="000000" w:themeColor="text1"/>
                <w14:textFill>
                  <w14:solidFill>
                    <w14:schemeClr w14:val="tx1"/>
                  </w14:solidFill>
                </w14:textFill>
              </w:rPr>
              <w:t>：</w:t>
            </w:r>
          </w:p>
          <w:p w14:paraId="23AC6744">
            <w:pPr>
              <w:pStyle w:val="67"/>
              <w:ind w:firstLine="480"/>
              <w:rPr>
                <w:lang w:val="pt-BR"/>
              </w:rPr>
            </w:pPr>
            <w:r>
              <w:rPr>
                <w:lang w:val="pt-BR"/>
              </w:rPr>
              <w:t xml:space="preserve">                   项目概况一览表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44"/>
              <w:gridCol w:w="6418"/>
            </w:tblGrid>
            <w:tr w14:paraId="14B202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op w:val="single" w:color="auto" w:sz="8" w:space="0"/>
                    <w:left w:val="nil"/>
                    <w:bottom w:val="single" w:color="auto" w:sz="4" w:space="0"/>
                    <w:right w:val="single" w:color="auto" w:sz="4" w:space="0"/>
                  </w:tcBorders>
                  <w:vAlign w:val="center"/>
                </w:tcPr>
                <w:p w14:paraId="28026AC1">
                  <w:pPr>
                    <w:pStyle w:val="86"/>
                    <w:rPr>
                      <w:b/>
                      <w:bCs w:val="0"/>
                      <w:lang w:val="pt-BR"/>
                    </w:rPr>
                  </w:pPr>
                  <w:r>
                    <w:rPr>
                      <w:b/>
                      <w:bCs w:val="0"/>
                      <w:lang w:val="pt-BR"/>
                    </w:rPr>
                    <w:t>序号</w:t>
                  </w:r>
                </w:p>
              </w:tc>
              <w:tc>
                <w:tcPr>
                  <w:tcW w:w="846" w:type="pct"/>
                  <w:tcBorders>
                    <w:top w:val="single" w:color="auto" w:sz="8" w:space="0"/>
                    <w:left w:val="single" w:color="auto" w:sz="4" w:space="0"/>
                    <w:bottom w:val="single" w:color="auto" w:sz="4" w:space="0"/>
                    <w:right w:val="single" w:color="auto" w:sz="4" w:space="0"/>
                  </w:tcBorders>
                  <w:vAlign w:val="center"/>
                </w:tcPr>
                <w:p w14:paraId="7FC639CA">
                  <w:pPr>
                    <w:pStyle w:val="86"/>
                    <w:rPr>
                      <w:b/>
                      <w:bCs w:val="0"/>
                      <w:lang w:val="pt-BR"/>
                    </w:rPr>
                  </w:pPr>
                  <w:r>
                    <w:rPr>
                      <w:b/>
                      <w:bCs w:val="0"/>
                      <w:lang w:val="pt-BR"/>
                    </w:rPr>
                    <w:t>项目</w:t>
                  </w:r>
                </w:p>
              </w:tc>
              <w:tc>
                <w:tcPr>
                  <w:tcW w:w="3761" w:type="pct"/>
                  <w:tcBorders>
                    <w:top w:val="single" w:color="auto" w:sz="8" w:space="0"/>
                    <w:left w:val="single" w:color="auto" w:sz="4" w:space="0"/>
                    <w:bottom w:val="single" w:color="auto" w:sz="4" w:space="0"/>
                    <w:right w:val="nil"/>
                  </w:tcBorders>
                  <w:vAlign w:val="center"/>
                </w:tcPr>
                <w:p w14:paraId="72A3E5C1">
                  <w:pPr>
                    <w:pStyle w:val="86"/>
                    <w:rPr>
                      <w:b/>
                      <w:bCs w:val="0"/>
                      <w:lang w:val="pt-BR"/>
                    </w:rPr>
                  </w:pPr>
                  <w:r>
                    <w:rPr>
                      <w:b/>
                      <w:bCs w:val="0"/>
                      <w:lang w:val="pt-BR"/>
                    </w:rPr>
                    <w:t>内容</w:t>
                  </w:r>
                </w:p>
              </w:tc>
            </w:tr>
            <w:tr w14:paraId="3E0599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op w:val="single" w:color="auto" w:sz="4" w:space="0"/>
                    <w:left w:val="nil"/>
                    <w:bottom w:val="single" w:color="auto" w:sz="4" w:space="0"/>
                    <w:right w:val="single" w:color="auto" w:sz="4" w:space="0"/>
                  </w:tcBorders>
                  <w:vAlign w:val="center"/>
                </w:tcPr>
                <w:p w14:paraId="0C0AECFE">
                  <w:pPr>
                    <w:pStyle w:val="86"/>
                  </w:pPr>
                  <w:r>
                    <w:t>1</w:t>
                  </w:r>
                </w:p>
              </w:tc>
              <w:tc>
                <w:tcPr>
                  <w:tcW w:w="846" w:type="pct"/>
                  <w:tcBorders>
                    <w:top w:val="single" w:color="auto" w:sz="4" w:space="0"/>
                    <w:left w:val="single" w:color="auto" w:sz="4" w:space="0"/>
                    <w:bottom w:val="single" w:color="auto" w:sz="4" w:space="0"/>
                    <w:right w:val="single" w:color="auto" w:sz="4" w:space="0"/>
                  </w:tcBorders>
                  <w:vAlign w:val="center"/>
                </w:tcPr>
                <w:p w14:paraId="1A3281ED">
                  <w:pPr>
                    <w:pStyle w:val="86"/>
                  </w:pPr>
                  <w:r>
                    <w:t>项目名称</w:t>
                  </w:r>
                </w:p>
              </w:tc>
              <w:tc>
                <w:tcPr>
                  <w:tcW w:w="3761" w:type="pct"/>
                  <w:tcBorders>
                    <w:top w:val="single" w:color="auto" w:sz="4" w:space="0"/>
                    <w:left w:val="single" w:color="auto" w:sz="4" w:space="0"/>
                    <w:bottom w:val="single" w:color="auto" w:sz="4" w:space="0"/>
                    <w:right w:val="nil"/>
                  </w:tcBorders>
                  <w:vAlign w:val="center"/>
                </w:tcPr>
                <w:p w14:paraId="1EAF16AC">
                  <w:pPr>
                    <w:pStyle w:val="86"/>
                  </w:pPr>
                  <w:r>
                    <w:rPr>
                      <w:rFonts w:hint="eastAsia"/>
                    </w:rPr>
                    <w:t>年加工2000吨再生塑料颗粒技术改造项目</w:t>
                  </w:r>
                </w:p>
              </w:tc>
            </w:tr>
            <w:tr w14:paraId="12A746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op w:val="single" w:color="auto" w:sz="4" w:space="0"/>
                    <w:left w:val="nil"/>
                    <w:bottom w:val="single" w:color="auto" w:sz="4" w:space="0"/>
                    <w:right w:val="single" w:color="auto" w:sz="4" w:space="0"/>
                  </w:tcBorders>
                  <w:vAlign w:val="center"/>
                </w:tcPr>
                <w:p w14:paraId="77DCD03A">
                  <w:pPr>
                    <w:pStyle w:val="86"/>
                  </w:pPr>
                  <w:r>
                    <w:t>2</w:t>
                  </w:r>
                </w:p>
              </w:tc>
              <w:tc>
                <w:tcPr>
                  <w:tcW w:w="846" w:type="pct"/>
                  <w:tcBorders>
                    <w:top w:val="single" w:color="auto" w:sz="4" w:space="0"/>
                    <w:left w:val="single" w:color="auto" w:sz="4" w:space="0"/>
                    <w:bottom w:val="single" w:color="auto" w:sz="4" w:space="0"/>
                    <w:right w:val="single" w:color="auto" w:sz="4" w:space="0"/>
                  </w:tcBorders>
                  <w:vAlign w:val="center"/>
                </w:tcPr>
                <w:p w14:paraId="6D2D4025">
                  <w:pPr>
                    <w:pStyle w:val="86"/>
                  </w:pPr>
                  <w:r>
                    <w:t>建设单位</w:t>
                  </w:r>
                </w:p>
              </w:tc>
              <w:tc>
                <w:tcPr>
                  <w:tcW w:w="3761" w:type="pct"/>
                  <w:tcBorders>
                    <w:top w:val="single" w:color="auto" w:sz="4" w:space="0"/>
                    <w:left w:val="single" w:color="auto" w:sz="4" w:space="0"/>
                    <w:bottom w:val="single" w:color="auto" w:sz="4" w:space="0"/>
                    <w:right w:val="nil"/>
                  </w:tcBorders>
                  <w:vAlign w:val="center"/>
                </w:tcPr>
                <w:p w14:paraId="7C02CE0A">
                  <w:pPr>
                    <w:pStyle w:val="86"/>
                  </w:pPr>
                  <w:r>
                    <w:rPr>
                      <w:rFonts w:hint="eastAsia"/>
                    </w:rPr>
                    <w:t>新乡市嘉福宝科技有限公司</w:t>
                  </w:r>
                </w:p>
              </w:tc>
            </w:tr>
            <w:tr w14:paraId="1F5B2D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op w:val="single" w:color="auto" w:sz="4" w:space="0"/>
                    <w:left w:val="nil"/>
                    <w:bottom w:val="single" w:color="auto" w:sz="4" w:space="0"/>
                    <w:right w:val="single" w:color="auto" w:sz="4" w:space="0"/>
                  </w:tcBorders>
                  <w:vAlign w:val="center"/>
                </w:tcPr>
                <w:p w14:paraId="364A5EDF">
                  <w:pPr>
                    <w:pStyle w:val="86"/>
                  </w:pPr>
                  <w:r>
                    <w:t>3</w:t>
                  </w:r>
                </w:p>
              </w:tc>
              <w:tc>
                <w:tcPr>
                  <w:tcW w:w="846" w:type="pct"/>
                  <w:tcBorders>
                    <w:top w:val="single" w:color="auto" w:sz="4" w:space="0"/>
                    <w:left w:val="single" w:color="auto" w:sz="4" w:space="0"/>
                    <w:bottom w:val="single" w:color="auto" w:sz="4" w:space="0"/>
                    <w:right w:val="single" w:color="auto" w:sz="4" w:space="0"/>
                  </w:tcBorders>
                  <w:vAlign w:val="center"/>
                </w:tcPr>
                <w:p w14:paraId="5E266E12">
                  <w:pPr>
                    <w:pStyle w:val="86"/>
                  </w:pPr>
                  <w:r>
                    <w:rPr>
                      <w:rFonts w:hint="eastAsia"/>
                    </w:rPr>
                    <w:t>产品方案</w:t>
                  </w:r>
                </w:p>
              </w:tc>
              <w:tc>
                <w:tcPr>
                  <w:tcW w:w="3761" w:type="pct"/>
                  <w:tcBorders>
                    <w:top w:val="single" w:color="auto" w:sz="4" w:space="0"/>
                    <w:left w:val="single" w:color="auto" w:sz="4" w:space="0"/>
                    <w:bottom w:val="single" w:color="auto" w:sz="4" w:space="0"/>
                    <w:right w:val="nil"/>
                  </w:tcBorders>
                  <w:vAlign w:val="center"/>
                </w:tcPr>
                <w:p w14:paraId="0359994F">
                  <w:pPr>
                    <w:pStyle w:val="86"/>
                  </w:pPr>
                  <w:r>
                    <w:rPr>
                      <w:rFonts w:hint="eastAsia"/>
                    </w:rPr>
                    <w:t>再生塑料颗粒</w:t>
                  </w:r>
                  <w:r>
                    <w:t>2000</w:t>
                  </w:r>
                  <w:r>
                    <w:rPr>
                      <w:rFonts w:hint="eastAsia"/>
                    </w:rPr>
                    <w:t>吨/年</w:t>
                  </w:r>
                </w:p>
              </w:tc>
            </w:tr>
            <w:tr w14:paraId="7C22DE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op w:val="single" w:color="auto" w:sz="4" w:space="0"/>
                    <w:left w:val="nil"/>
                    <w:bottom w:val="single" w:color="auto" w:sz="4" w:space="0"/>
                    <w:right w:val="single" w:color="auto" w:sz="4" w:space="0"/>
                  </w:tcBorders>
                  <w:vAlign w:val="center"/>
                </w:tcPr>
                <w:p w14:paraId="07E71A95">
                  <w:pPr>
                    <w:pStyle w:val="86"/>
                  </w:pPr>
                  <w:r>
                    <w:t>4</w:t>
                  </w:r>
                </w:p>
              </w:tc>
              <w:tc>
                <w:tcPr>
                  <w:tcW w:w="846" w:type="pct"/>
                  <w:tcBorders>
                    <w:top w:val="single" w:color="auto" w:sz="4" w:space="0"/>
                    <w:left w:val="single" w:color="auto" w:sz="4" w:space="0"/>
                    <w:bottom w:val="single" w:color="auto" w:sz="4" w:space="0"/>
                    <w:right w:val="single" w:color="auto" w:sz="4" w:space="0"/>
                  </w:tcBorders>
                  <w:vAlign w:val="center"/>
                </w:tcPr>
                <w:p w14:paraId="47F36D8B">
                  <w:pPr>
                    <w:pStyle w:val="86"/>
                  </w:pPr>
                  <w:r>
                    <w:t>项目地址</w:t>
                  </w:r>
                </w:p>
              </w:tc>
              <w:tc>
                <w:tcPr>
                  <w:tcW w:w="3761" w:type="pct"/>
                  <w:tcBorders>
                    <w:top w:val="single" w:color="auto" w:sz="4" w:space="0"/>
                    <w:left w:val="single" w:color="auto" w:sz="4" w:space="0"/>
                    <w:bottom w:val="single" w:color="auto" w:sz="4" w:space="0"/>
                    <w:right w:val="nil"/>
                  </w:tcBorders>
                  <w:vAlign w:val="center"/>
                </w:tcPr>
                <w:p w14:paraId="60BE35CD">
                  <w:pPr>
                    <w:pStyle w:val="86"/>
                  </w:pPr>
                  <w:r>
                    <w:rPr>
                      <w:rFonts w:hint="eastAsia"/>
                    </w:rPr>
                    <w:t>河南省新乡市获嘉县仁爱路与新华街南段交叉口西北产业集聚区二期1号</w:t>
                  </w:r>
                </w:p>
              </w:tc>
            </w:tr>
            <w:tr w14:paraId="3D2869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op w:val="single" w:color="auto" w:sz="4" w:space="0"/>
                    <w:left w:val="nil"/>
                    <w:bottom w:val="single" w:color="auto" w:sz="4" w:space="0"/>
                    <w:right w:val="single" w:color="auto" w:sz="4" w:space="0"/>
                  </w:tcBorders>
                  <w:vAlign w:val="center"/>
                </w:tcPr>
                <w:p w14:paraId="60B242FB">
                  <w:pPr>
                    <w:pStyle w:val="86"/>
                  </w:pPr>
                  <w:r>
                    <w:t>5</w:t>
                  </w:r>
                </w:p>
              </w:tc>
              <w:tc>
                <w:tcPr>
                  <w:tcW w:w="846" w:type="pct"/>
                  <w:tcBorders>
                    <w:top w:val="single" w:color="auto" w:sz="4" w:space="0"/>
                    <w:left w:val="single" w:color="auto" w:sz="4" w:space="0"/>
                    <w:bottom w:val="single" w:color="auto" w:sz="4" w:space="0"/>
                    <w:right w:val="single" w:color="auto" w:sz="4" w:space="0"/>
                  </w:tcBorders>
                  <w:vAlign w:val="center"/>
                </w:tcPr>
                <w:p w14:paraId="31C080E9">
                  <w:pPr>
                    <w:pStyle w:val="86"/>
                  </w:pPr>
                  <w:r>
                    <w:t>占地面积</w:t>
                  </w:r>
                </w:p>
              </w:tc>
              <w:tc>
                <w:tcPr>
                  <w:tcW w:w="3761" w:type="pct"/>
                  <w:tcBorders>
                    <w:top w:val="single" w:color="auto" w:sz="4" w:space="0"/>
                    <w:left w:val="single" w:color="auto" w:sz="4" w:space="0"/>
                    <w:bottom w:val="single" w:color="auto" w:sz="4" w:space="0"/>
                    <w:right w:val="nil"/>
                  </w:tcBorders>
                  <w:vAlign w:val="center"/>
                </w:tcPr>
                <w:p w14:paraId="411E296F">
                  <w:pPr>
                    <w:pStyle w:val="86"/>
                  </w:pPr>
                  <w:r>
                    <w:rPr>
                      <w:rFonts w:hint="eastAsia"/>
                    </w:rPr>
                    <w:t>占地面积约</w:t>
                  </w:r>
                  <w:r>
                    <w:t>3000</w:t>
                  </w:r>
                  <w:r>
                    <w:rPr>
                      <w:rFonts w:hint="eastAsia"/>
                    </w:rPr>
                    <w:t>m</w:t>
                  </w:r>
                  <w:r>
                    <w:rPr>
                      <w:rFonts w:hint="eastAsia"/>
                      <w:vertAlign w:val="superscript"/>
                    </w:rPr>
                    <w:t>2</w:t>
                  </w:r>
                </w:p>
              </w:tc>
            </w:tr>
            <w:tr w14:paraId="50C012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op w:val="single" w:color="auto" w:sz="4" w:space="0"/>
                    <w:left w:val="nil"/>
                    <w:bottom w:val="single" w:color="auto" w:sz="4" w:space="0"/>
                    <w:right w:val="single" w:color="auto" w:sz="4" w:space="0"/>
                  </w:tcBorders>
                  <w:vAlign w:val="center"/>
                </w:tcPr>
                <w:p w14:paraId="52608BB4">
                  <w:pPr>
                    <w:pStyle w:val="86"/>
                  </w:pPr>
                  <w:r>
                    <w:t>6</w:t>
                  </w:r>
                </w:p>
              </w:tc>
              <w:tc>
                <w:tcPr>
                  <w:tcW w:w="846" w:type="pct"/>
                  <w:tcBorders>
                    <w:top w:val="single" w:color="auto" w:sz="4" w:space="0"/>
                    <w:left w:val="single" w:color="auto" w:sz="4" w:space="0"/>
                    <w:bottom w:val="single" w:color="auto" w:sz="4" w:space="0"/>
                    <w:right w:val="single" w:color="auto" w:sz="4" w:space="0"/>
                  </w:tcBorders>
                  <w:vAlign w:val="center"/>
                </w:tcPr>
                <w:p w14:paraId="5CDC58D2">
                  <w:pPr>
                    <w:pStyle w:val="86"/>
                  </w:pPr>
                  <w:r>
                    <w:t>总投资</w:t>
                  </w:r>
                </w:p>
              </w:tc>
              <w:tc>
                <w:tcPr>
                  <w:tcW w:w="3761" w:type="pct"/>
                  <w:tcBorders>
                    <w:top w:val="single" w:color="auto" w:sz="4" w:space="0"/>
                    <w:left w:val="single" w:color="auto" w:sz="4" w:space="0"/>
                    <w:bottom w:val="single" w:color="auto" w:sz="4" w:space="0"/>
                    <w:right w:val="nil"/>
                  </w:tcBorders>
                  <w:vAlign w:val="center"/>
                </w:tcPr>
                <w:p w14:paraId="0C4867BA">
                  <w:pPr>
                    <w:pStyle w:val="86"/>
                  </w:pPr>
                  <w:r>
                    <w:t>1000万元</w:t>
                  </w:r>
                </w:p>
              </w:tc>
            </w:tr>
            <w:tr w14:paraId="4BF2ED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op w:val="single" w:color="auto" w:sz="4" w:space="0"/>
                    <w:left w:val="nil"/>
                    <w:bottom w:val="single" w:color="auto" w:sz="4" w:space="0"/>
                    <w:right w:val="single" w:color="auto" w:sz="4" w:space="0"/>
                  </w:tcBorders>
                  <w:vAlign w:val="center"/>
                </w:tcPr>
                <w:p w14:paraId="73958098">
                  <w:pPr>
                    <w:pStyle w:val="86"/>
                  </w:pPr>
                  <w:r>
                    <w:t>7</w:t>
                  </w:r>
                </w:p>
              </w:tc>
              <w:tc>
                <w:tcPr>
                  <w:tcW w:w="846" w:type="pct"/>
                  <w:tcBorders>
                    <w:top w:val="single" w:color="auto" w:sz="4" w:space="0"/>
                    <w:left w:val="single" w:color="auto" w:sz="4" w:space="0"/>
                    <w:bottom w:val="single" w:color="auto" w:sz="4" w:space="0"/>
                    <w:right w:val="single" w:color="auto" w:sz="4" w:space="0"/>
                  </w:tcBorders>
                  <w:vAlign w:val="center"/>
                </w:tcPr>
                <w:p w14:paraId="49733656">
                  <w:pPr>
                    <w:pStyle w:val="86"/>
                  </w:pPr>
                  <w:r>
                    <w:rPr>
                      <w:rFonts w:hint="eastAsia"/>
                    </w:rPr>
                    <w:t>主要工艺</w:t>
                  </w:r>
                </w:p>
              </w:tc>
              <w:tc>
                <w:tcPr>
                  <w:tcW w:w="3761" w:type="pct"/>
                  <w:tcBorders>
                    <w:top w:val="single" w:color="auto" w:sz="4" w:space="0"/>
                    <w:left w:val="single" w:color="auto" w:sz="4" w:space="0"/>
                    <w:bottom w:val="single" w:color="auto" w:sz="4" w:space="0"/>
                    <w:right w:val="nil"/>
                  </w:tcBorders>
                  <w:vAlign w:val="center"/>
                </w:tcPr>
                <w:p w14:paraId="63F86977">
                  <w:pPr>
                    <w:pStyle w:val="86"/>
                  </w:pPr>
                  <w:r>
                    <w:rPr>
                      <w:rFonts w:hint="eastAsia"/>
                    </w:rPr>
                    <w:t>原料分拣</w:t>
                  </w:r>
                  <w:r>
                    <w:t>-</w:t>
                  </w:r>
                  <w:r>
                    <w:rPr>
                      <w:rFonts w:hint="eastAsia"/>
                    </w:rPr>
                    <w:t>破碎</w:t>
                  </w:r>
                  <w:r>
                    <w:t>-</w:t>
                  </w:r>
                  <w:r>
                    <w:rPr>
                      <w:rFonts w:hint="eastAsia"/>
                    </w:rPr>
                    <w:t>清洗</w:t>
                  </w:r>
                  <w:r>
                    <w:t>-</w:t>
                  </w:r>
                  <w:r>
                    <w:rPr>
                      <w:rFonts w:hint="eastAsia"/>
                    </w:rPr>
                    <w:t>甩干</w:t>
                  </w:r>
                  <w:r>
                    <w:t>-</w:t>
                  </w:r>
                  <w:r>
                    <w:rPr>
                      <w:rFonts w:hint="eastAsia"/>
                    </w:rPr>
                    <w:t>熔融挤出-切粒-包装</w:t>
                  </w:r>
                </w:p>
              </w:tc>
            </w:tr>
            <w:tr w14:paraId="5723E1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3" w:type="pct"/>
                  <w:tcBorders>
                    <w:top w:val="single" w:color="auto" w:sz="4" w:space="0"/>
                    <w:left w:val="nil"/>
                    <w:bottom w:val="single" w:color="auto" w:sz="8" w:space="0"/>
                    <w:right w:val="single" w:color="auto" w:sz="4" w:space="0"/>
                  </w:tcBorders>
                  <w:vAlign w:val="center"/>
                </w:tcPr>
                <w:p w14:paraId="418CFC5F">
                  <w:pPr>
                    <w:pStyle w:val="86"/>
                  </w:pPr>
                  <w:r>
                    <w:t>8</w:t>
                  </w:r>
                </w:p>
              </w:tc>
              <w:tc>
                <w:tcPr>
                  <w:tcW w:w="846" w:type="pct"/>
                  <w:tcBorders>
                    <w:top w:val="single" w:color="auto" w:sz="4" w:space="0"/>
                    <w:left w:val="single" w:color="auto" w:sz="4" w:space="0"/>
                    <w:bottom w:val="single" w:color="auto" w:sz="8" w:space="0"/>
                    <w:right w:val="single" w:color="auto" w:sz="4" w:space="0"/>
                  </w:tcBorders>
                  <w:vAlign w:val="center"/>
                </w:tcPr>
                <w:p w14:paraId="58BA91F1">
                  <w:pPr>
                    <w:pStyle w:val="86"/>
                  </w:pPr>
                  <w:r>
                    <w:t>定员与工作制度</w:t>
                  </w:r>
                </w:p>
              </w:tc>
              <w:tc>
                <w:tcPr>
                  <w:tcW w:w="3761" w:type="pct"/>
                  <w:tcBorders>
                    <w:top w:val="single" w:color="auto" w:sz="4" w:space="0"/>
                    <w:left w:val="single" w:color="auto" w:sz="4" w:space="0"/>
                    <w:bottom w:val="single" w:color="auto" w:sz="8" w:space="0"/>
                    <w:right w:val="nil"/>
                  </w:tcBorders>
                  <w:vAlign w:val="center"/>
                </w:tcPr>
                <w:p w14:paraId="087DA4B1">
                  <w:pPr>
                    <w:pStyle w:val="86"/>
                  </w:pPr>
                  <w:r>
                    <w:t>本项目</w:t>
                  </w:r>
                  <w:r>
                    <w:rPr>
                      <w:rFonts w:hint="eastAsia"/>
                    </w:rPr>
                    <w:t>新增</w:t>
                  </w:r>
                  <w:r>
                    <w:t>员工</w:t>
                  </w:r>
                  <w:r>
                    <w:rPr>
                      <w:rFonts w:hint="eastAsia"/>
                    </w:rPr>
                    <w:t>2</w:t>
                  </w:r>
                  <w:r>
                    <w:t>0人，</w:t>
                  </w:r>
                  <w:r>
                    <w:rPr>
                      <w:rFonts w:hint="eastAsia"/>
                    </w:rPr>
                    <w:t>每天工作</w:t>
                  </w:r>
                  <w:r>
                    <w:t>24</w:t>
                  </w:r>
                  <w:r>
                    <w:rPr>
                      <w:rFonts w:hint="eastAsia"/>
                    </w:rPr>
                    <w:t>小时，3班制</w:t>
                  </w:r>
                  <w:r>
                    <w:t>，年工作300天</w:t>
                  </w:r>
                  <w:r>
                    <w:rPr>
                      <w:rFonts w:hint="eastAsia"/>
                    </w:rPr>
                    <w:t>。</w:t>
                  </w:r>
                </w:p>
              </w:tc>
            </w:tr>
          </w:tbl>
          <w:p w14:paraId="3CDBBD29">
            <w:pPr>
              <w:pStyle w:val="28"/>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本项目租赁现有空闲车间进行建设，目前新增设备未就位，不涉及未批先建。本项目所在车间现状见下图。</w:t>
            </w:r>
          </w:p>
          <w:p w14:paraId="7C2DB67F">
            <w:pPr>
              <w:pStyle w:val="92"/>
            </w:pPr>
            <w:r>
              <w:drawing>
                <wp:inline distT="0" distB="0" distL="0" distR="0">
                  <wp:extent cx="5080000" cy="2343150"/>
                  <wp:effectExtent l="9525" t="9525" r="15875" b="9525"/>
                  <wp:docPr id="340947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47043" name="图片 1"/>
                          <pic:cNvPicPr>
                            <a:picLocks noChangeAspect="1"/>
                          </pic:cNvPicPr>
                        </pic:nvPicPr>
                        <pic:blipFill>
                          <a:blip r:embed="rId18"/>
                          <a:stretch>
                            <a:fillRect/>
                          </a:stretch>
                        </pic:blipFill>
                        <pic:spPr>
                          <a:xfrm>
                            <a:off x="0" y="0"/>
                            <a:ext cx="5089075" cy="2343150"/>
                          </a:xfrm>
                          <a:prstGeom prst="rect">
                            <a:avLst/>
                          </a:prstGeom>
                          <a:ln>
                            <a:solidFill>
                              <a:schemeClr val="tx1"/>
                            </a:solidFill>
                          </a:ln>
                        </pic:spPr>
                      </pic:pic>
                    </a:graphicData>
                  </a:graphic>
                </wp:inline>
              </w:drawing>
            </w:r>
          </w:p>
          <w:p w14:paraId="550F1DD0">
            <w:pPr>
              <w:pStyle w:val="92"/>
            </w:pPr>
            <w:r>
              <w:t xml:space="preserve">图2  </w:t>
            </w:r>
            <w:r>
              <w:rPr>
                <w:rFonts w:hint="eastAsia"/>
              </w:rPr>
              <w:t>本</w:t>
            </w:r>
            <w:r>
              <w:t>项目</w:t>
            </w:r>
            <w:r>
              <w:rPr>
                <w:rFonts w:hint="eastAsia"/>
              </w:rPr>
              <w:t>车间</w:t>
            </w:r>
            <w:r>
              <w:t>现状图</w:t>
            </w:r>
          </w:p>
          <w:p w14:paraId="19F056A2">
            <w:pPr>
              <w:pStyle w:val="28"/>
              <w:ind w:firstLine="480"/>
            </w:pPr>
            <w:r>
              <w:t>2、项目组成情况</w:t>
            </w:r>
          </w:p>
          <w:p w14:paraId="3438394D">
            <w:pPr>
              <w:pStyle w:val="28"/>
              <w:ind w:firstLine="480"/>
            </w:pPr>
            <w:r>
              <w:t>主要组成及建设情况见下表：</w:t>
            </w:r>
          </w:p>
          <w:p w14:paraId="6BFB1E81">
            <w:pPr>
              <w:pStyle w:val="67"/>
              <w:ind w:firstLine="480"/>
              <w:rPr>
                <w:lang w:val="pt-BR"/>
              </w:rPr>
            </w:pPr>
            <w:r>
              <w:t xml:space="preserve">                   项目组成一览表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42"/>
              <w:gridCol w:w="578"/>
              <w:gridCol w:w="1270"/>
              <w:gridCol w:w="1816"/>
              <w:gridCol w:w="1169"/>
              <w:gridCol w:w="2573"/>
              <w:gridCol w:w="584"/>
            </w:tblGrid>
            <w:tr w14:paraId="76FC2F0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Align w:val="center"/>
                </w:tcPr>
                <w:p w14:paraId="1BCE2B68">
                  <w:pPr>
                    <w:pStyle w:val="86"/>
                    <w:rPr>
                      <w:b/>
                      <w:bCs w:val="0"/>
                      <w:lang w:val="pt-BR"/>
                    </w:rPr>
                  </w:pPr>
                  <w:r>
                    <w:rPr>
                      <w:b/>
                      <w:bCs w:val="0"/>
                      <w:lang w:val="pt-BR"/>
                    </w:rPr>
                    <w:t>序号</w:t>
                  </w:r>
                </w:p>
              </w:tc>
              <w:tc>
                <w:tcPr>
                  <w:tcW w:w="339" w:type="pct"/>
                  <w:vAlign w:val="center"/>
                </w:tcPr>
                <w:p w14:paraId="4F640807">
                  <w:pPr>
                    <w:pStyle w:val="86"/>
                    <w:rPr>
                      <w:b/>
                      <w:bCs w:val="0"/>
                      <w:lang w:val="pt-BR"/>
                    </w:rPr>
                  </w:pPr>
                  <w:r>
                    <w:rPr>
                      <w:b/>
                      <w:bCs w:val="0"/>
                      <w:lang w:val="pt-BR"/>
                    </w:rPr>
                    <w:t>项目</w:t>
                  </w:r>
                </w:p>
              </w:tc>
              <w:tc>
                <w:tcPr>
                  <w:tcW w:w="744" w:type="pct"/>
                  <w:vAlign w:val="center"/>
                </w:tcPr>
                <w:p w14:paraId="4B94C6D0">
                  <w:pPr>
                    <w:pStyle w:val="86"/>
                    <w:rPr>
                      <w:b/>
                      <w:bCs w:val="0"/>
                      <w:lang w:val="pt-BR"/>
                    </w:rPr>
                  </w:pPr>
                  <w:r>
                    <w:rPr>
                      <w:b/>
                      <w:bCs w:val="0"/>
                      <w:lang w:val="pt-BR"/>
                    </w:rPr>
                    <w:t>内容</w:t>
                  </w:r>
                </w:p>
              </w:tc>
              <w:tc>
                <w:tcPr>
                  <w:tcW w:w="3257" w:type="pct"/>
                  <w:gridSpan w:val="3"/>
                  <w:vAlign w:val="center"/>
                </w:tcPr>
                <w:p w14:paraId="259C0456">
                  <w:pPr>
                    <w:pStyle w:val="86"/>
                    <w:rPr>
                      <w:b/>
                      <w:bCs w:val="0"/>
                      <w:lang w:val="pt-BR"/>
                    </w:rPr>
                  </w:pPr>
                  <w:r>
                    <w:rPr>
                      <w:b/>
                      <w:bCs w:val="0"/>
                      <w:lang w:val="pt-BR"/>
                    </w:rPr>
                    <w:t>数量、规模或要求</w:t>
                  </w:r>
                </w:p>
              </w:tc>
              <w:tc>
                <w:tcPr>
                  <w:tcW w:w="342" w:type="pct"/>
                  <w:vAlign w:val="center"/>
                </w:tcPr>
                <w:p w14:paraId="6D5F2ADC">
                  <w:pPr>
                    <w:pStyle w:val="86"/>
                    <w:rPr>
                      <w:b/>
                      <w:bCs w:val="0"/>
                      <w:lang w:val="pt-BR"/>
                    </w:rPr>
                  </w:pPr>
                  <w:r>
                    <w:rPr>
                      <w:b/>
                      <w:bCs w:val="0"/>
                      <w:lang w:val="pt-BR"/>
                    </w:rPr>
                    <w:t>备注</w:t>
                  </w:r>
                </w:p>
              </w:tc>
            </w:tr>
            <w:tr w14:paraId="1356B8C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Align w:val="center"/>
                </w:tcPr>
                <w:p w14:paraId="43A54283">
                  <w:pPr>
                    <w:pStyle w:val="86"/>
                    <w:rPr>
                      <w:lang w:val="pt-BR"/>
                    </w:rPr>
                  </w:pPr>
                  <w:r>
                    <w:rPr>
                      <w:lang w:val="pt-BR"/>
                    </w:rPr>
                    <w:t>1</w:t>
                  </w:r>
                </w:p>
              </w:tc>
              <w:tc>
                <w:tcPr>
                  <w:tcW w:w="339" w:type="pct"/>
                  <w:vAlign w:val="center"/>
                </w:tcPr>
                <w:p w14:paraId="35F57821">
                  <w:pPr>
                    <w:pStyle w:val="86"/>
                    <w:rPr>
                      <w:lang w:val="pt-BR"/>
                    </w:rPr>
                  </w:pPr>
                  <w:r>
                    <w:rPr>
                      <w:lang w:val="pt-BR"/>
                    </w:rPr>
                    <w:t>主体工程</w:t>
                  </w:r>
                </w:p>
              </w:tc>
              <w:tc>
                <w:tcPr>
                  <w:tcW w:w="744" w:type="pct"/>
                  <w:vAlign w:val="center"/>
                </w:tcPr>
                <w:p w14:paraId="250E49FB">
                  <w:pPr>
                    <w:pStyle w:val="86"/>
                    <w:rPr>
                      <w:lang w:val="pt-BR"/>
                    </w:rPr>
                  </w:pPr>
                  <w:r>
                    <w:rPr>
                      <w:rFonts w:hint="eastAsia"/>
                      <w:lang w:val="pt-BR"/>
                    </w:rPr>
                    <w:t>生产车间</w:t>
                  </w:r>
                </w:p>
              </w:tc>
              <w:tc>
                <w:tcPr>
                  <w:tcW w:w="3257" w:type="pct"/>
                  <w:gridSpan w:val="3"/>
                  <w:vAlign w:val="center"/>
                </w:tcPr>
                <w:p w14:paraId="3038DA4E">
                  <w:pPr>
                    <w:pStyle w:val="86"/>
                    <w:rPr>
                      <w:lang w:val="pt-BR"/>
                    </w:rPr>
                  </w:pPr>
                  <w:r>
                    <w:rPr>
                      <w:lang w:val="pt-BR"/>
                    </w:rPr>
                    <w:t>1F，建筑面积为1700m</w:t>
                  </w:r>
                  <w:r>
                    <w:rPr>
                      <w:vertAlign w:val="superscript"/>
                      <w:lang w:val="pt-BR"/>
                    </w:rPr>
                    <w:t>2</w:t>
                  </w:r>
                </w:p>
              </w:tc>
              <w:tc>
                <w:tcPr>
                  <w:tcW w:w="342" w:type="pct"/>
                  <w:vAlign w:val="center"/>
                </w:tcPr>
                <w:p w14:paraId="101BBE0D">
                  <w:pPr>
                    <w:pStyle w:val="86"/>
                  </w:pPr>
                  <w:r>
                    <w:rPr>
                      <w:rFonts w:hint="eastAsia"/>
                    </w:rPr>
                    <w:t>新建</w:t>
                  </w:r>
                </w:p>
              </w:tc>
            </w:tr>
            <w:tr w14:paraId="4365AC7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Align w:val="center"/>
                </w:tcPr>
                <w:p w14:paraId="00FBDC7A">
                  <w:pPr>
                    <w:pStyle w:val="86"/>
                    <w:rPr>
                      <w:lang w:val="pt-BR"/>
                    </w:rPr>
                  </w:pPr>
                  <w:r>
                    <w:rPr>
                      <w:lang w:val="pt-BR"/>
                    </w:rPr>
                    <w:t>2</w:t>
                  </w:r>
                </w:p>
              </w:tc>
              <w:tc>
                <w:tcPr>
                  <w:tcW w:w="339" w:type="pct"/>
                  <w:vAlign w:val="center"/>
                </w:tcPr>
                <w:p w14:paraId="5945E58C">
                  <w:pPr>
                    <w:pStyle w:val="86"/>
                    <w:rPr>
                      <w:lang w:val="pt-BR"/>
                    </w:rPr>
                  </w:pPr>
                  <w:r>
                    <w:rPr>
                      <w:lang w:val="pt-BR"/>
                    </w:rPr>
                    <w:t>辅助工程</w:t>
                  </w:r>
                </w:p>
              </w:tc>
              <w:tc>
                <w:tcPr>
                  <w:tcW w:w="744" w:type="pct"/>
                  <w:vAlign w:val="center"/>
                </w:tcPr>
                <w:p w14:paraId="698412A9">
                  <w:pPr>
                    <w:pStyle w:val="86"/>
                    <w:rPr>
                      <w:lang w:val="pt-BR"/>
                    </w:rPr>
                  </w:pPr>
                  <w:r>
                    <w:rPr>
                      <w:rFonts w:hint="eastAsia"/>
                      <w:lang w:val="pt-BR"/>
                    </w:rPr>
                    <w:t>办公楼</w:t>
                  </w:r>
                </w:p>
              </w:tc>
              <w:tc>
                <w:tcPr>
                  <w:tcW w:w="3257" w:type="pct"/>
                  <w:gridSpan w:val="3"/>
                  <w:vAlign w:val="center"/>
                </w:tcPr>
                <w:p w14:paraId="0ACCCACB">
                  <w:pPr>
                    <w:pStyle w:val="86"/>
                    <w:rPr>
                      <w:lang w:val="pt-BR"/>
                    </w:rPr>
                  </w:pPr>
                  <w:r>
                    <w:rPr>
                      <w:lang w:val="pt-BR"/>
                    </w:rPr>
                    <w:t>2F，</w:t>
                  </w:r>
                  <w:r>
                    <w:rPr>
                      <w:rFonts w:hint="eastAsia"/>
                      <w:lang w:val="pt-BR"/>
                    </w:rPr>
                    <w:t>单层</w:t>
                  </w:r>
                  <w:r>
                    <w:rPr>
                      <w:lang w:val="pt-BR"/>
                    </w:rPr>
                    <w:t>建筑面积</w:t>
                  </w:r>
                  <w:r>
                    <w:rPr>
                      <w:rFonts w:hint="eastAsia"/>
                      <w:lang w:val="pt-BR"/>
                    </w:rPr>
                    <w:t>为</w:t>
                  </w:r>
                  <w:r>
                    <w:t>150</w:t>
                  </w:r>
                  <w:r>
                    <w:rPr>
                      <w:lang w:val="pt-BR"/>
                    </w:rPr>
                    <w:t>m</w:t>
                  </w:r>
                  <w:r>
                    <w:rPr>
                      <w:vertAlign w:val="superscript"/>
                      <w:lang w:val="pt-BR"/>
                    </w:rPr>
                    <w:t>2</w:t>
                  </w:r>
                  <w:r>
                    <w:rPr>
                      <w:lang w:val="pt-BR"/>
                    </w:rPr>
                    <w:t xml:space="preserve"> </w:t>
                  </w:r>
                </w:p>
              </w:tc>
              <w:tc>
                <w:tcPr>
                  <w:tcW w:w="342" w:type="pct"/>
                  <w:vAlign w:val="center"/>
                </w:tcPr>
                <w:p w14:paraId="6D8C88B6">
                  <w:pPr>
                    <w:pStyle w:val="86"/>
                  </w:pPr>
                  <w:r>
                    <w:rPr>
                      <w:rFonts w:hint="eastAsia"/>
                    </w:rPr>
                    <w:t>新建</w:t>
                  </w:r>
                </w:p>
              </w:tc>
            </w:tr>
            <w:tr w14:paraId="6763222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Merge w:val="restart"/>
                  <w:vAlign w:val="center"/>
                </w:tcPr>
                <w:p w14:paraId="20425DAD">
                  <w:pPr>
                    <w:pStyle w:val="86"/>
                    <w:rPr>
                      <w:lang w:val="pt-BR"/>
                    </w:rPr>
                  </w:pPr>
                  <w:r>
                    <w:rPr>
                      <w:rFonts w:hint="eastAsia"/>
                      <w:lang w:val="pt-BR"/>
                    </w:rPr>
                    <w:t>3</w:t>
                  </w:r>
                </w:p>
              </w:tc>
              <w:tc>
                <w:tcPr>
                  <w:tcW w:w="339" w:type="pct"/>
                  <w:vMerge w:val="restart"/>
                  <w:vAlign w:val="center"/>
                </w:tcPr>
                <w:p w14:paraId="2D10673A">
                  <w:pPr>
                    <w:pStyle w:val="86"/>
                    <w:rPr>
                      <w:lang w:val="pt-BR"/>
                    </w:rPr>
                  </w:pPr>
                  <w:r>
                    <w:rPr>
                      <w:rFonts w:hint="eastAsia"/>
                      <w:lang w:val="pt-BR"/>
                    </w:rPr>
                    <w:t>储运工程</w:t>
                  </w:r>
                </w:p>
              </w:tc>
              <w:tc>
                <w:tcPr>
                  <w:tcW w:w="744" w:type="pct"/>
                  <w:vAlign w:val="center"/>
                </w:tcPr>
                <w:p w14:paraId="6954EA71">
                  <w:pPr>
                    <w:pStyle w:val="86"/>
                    <w:rPr>
                      <w:lang w:val="pt-BR"/>
                    </w:rPr>
                  </w:pPr>
                  <w:r>
                    <w:rPr>
                      <w:rFonts w:hint="eastAsia"/>
                      <w:lang w:val="pt-BR"/>
                    </w:rPr>
                    <w:t>原料区</w:t>
                  </w:r>
                </w:p>
              </w:tc>
              <w:tc>
                <w:tcPr>
                  <w:tcW w:w="3257" w:type="pct"/>
                  <w:gridSpan w:val="3"/>
                  <w:vAlign w:val="center"/>
                </w:tcPr>
                <w:p w14:paraId="79B2F11A">
                  <w:pPr>
                    <w:pStyle w:val="86"/>
                    <w:rPr>
                      <w:lang w:val="pt-BR"/>
                    </w:rPr>
                  </w:pPr>
                  <w:r>
                    <w:rPr>
                      <w:rFonts w:hint="eastAsia"/>
                      <w:lang w:val="pt-BR"/>
                    </w:rPr>
                    <w:t>位于生产车间内</w:t>
                  </w:r>
                  <w:r>
                    <w:rPr>
                      <w:lang w:val="pt-BR"/>
                    </w:rPr>
                    <w:t>，面积为500m</w:t>
                  </w:r>
                  <w:r>
                    <w:rPr>
                      <w:vertAlign w:val="superscript"/>
                      <w:lang w:val="pt-BR"/>
                    </w:rPr>
                    <w:t>2</w:t>
                  </w:r>
                </w:p>
              </w:tc>
              <w:tc>
                <w:tcPr>
                  <w:tcW w:w="342" w:type="pct"/>
                  <w:vAlign w:val="center"/>
                </w:tcPr>
                <w:p w14:paraId="60D85C8B">
                  <w:pPr>
                    <w:pStyle w:val="86"/>
                  </w:pPr>
                  <w:r>
                    <w:rPr>
                      <w:rFonts w:hint="eastAsia"/>
                    </w:rPr>
                    <w:t>新建</w:t>
                  </w:r>
                </w:p>
              </w:tc>
            </w:tr>
            <w:tr w14:paraId="722A3A1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Merge w:val="continue"/>
                  <w:vAlign w:val="center"/>
                </w:tcPr>
                <w:p w14:paraId="204D19D3">
                  <w:pPr>
                    <w:pStyle w:val="86"/>
                    <w:rPr>
                      <w:lang w:val="pt-BR"/>
                    </w:rPr>
                  </w:pPr>
                </w:p>
              </w:tc>
              <w:tc>
                <w:tcPr>
                  <w:tcW w:w="339" w:type="pct"/>
                  <w:vMerge w:val="continue"/>
                  <w:vAlign w:val="center"/>
                </w:tcPr>
                <w:p w14:paraId="48E46C86">
                  <w:pPr>
                    <w:pStyle w:val="86"/>
                    <w:rPr>
                      <w:lang w:val="pt-BR"/>
                    </w:rPr>
                  </w:pPr>
                </w:p>
              </w:tc>
              <w:tc>
                <w:tcPr>
                  <w:tcW w:w="744" w:type="pct"/>
                  <w:vAlign w:val="center"/>
                </w:tcPr>
                <w:p w14:paraId="7E242558">
                  <w:pPr>
                    <w:pStyle w:val="86"/>
                    <w:rPr>
                      <w:lang w:val="pt-BR"/>
                    </w:rPr>
                  </w:pPr>
                  <w:r>
                    <w:rPr>
                      <w:rFonts w:hint="eastAsia"/>
                      <w:lang w:val="pt-BR"/>
                    </w:rPr>
                    <w:t>成品区</w:t>
                  </w:r>
                </w:p>
              </w:tc>
              <w:tc>
                <w:tcPr>
                  <w:tcW w:w="3257" w:type="pct"/>
                  <w:gridSpan w:val="3"/>
                  <w:vAlign w:val="center"/>
                </w:tcPr>
                <w:p w14:paraId="4BB9AAE9">
                  <w:pPr>
                    <w:pStyle w:val="86"/>
                    <w:rPr>
                      <w:lang w:val="pt-BR"/>
                    </w:rPr>
                  </w:pPr>
                  <w:r>
                    <w:rPr>
                      <w:rFonts w:hint="eastAsia"/>
                      <w:lang w:val="pt-BR"/>
                    </w:rPr>
                    <w:t>位于生产车间内</w:t>
                  </w:r>
                  <w:r>
                    <w:rPr>
                      <w:lang w:val="pt-BR"/>
                    </w:rPr>
                    <w:t>，面积为600m</w:t>
                  </w:r>
                  <w:r>
                    <w:rPr>
                      <w:vertAlign w:val="superscript"/>
                      <w:lang w:val="pt-BR"/>
                    </w:rPr>
                    <w:t>2</w:t>
                  </w:r>
                </w:p>
              </w:tc>
              <w:tc>
                <w:tcPr>
                  <w:tcW w:w="342" w:type="pct"/>
                  <w:vAlign w:val="center"/>
                </w:tcPr>
                <w:p w14:paraId="2CDE95EC">
                  <w:pPr>
                    <w:pStyle w:val="86"/>
                  </w:pPr>
                  <w:r>
                    <w:rPr>
                      <w:rFonts w:hint="eastAsia"/>
                    </w:rPr>
                    <w:t>新建</w:t>
                  </w:r>
                </w:p>
              </w:tc>
            </w:tr>
            <w:tr w14:paraId="4721B5E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Merge w:val="restart"/>
                  <w:vAlign w:val="center"/>
                </w:tcPr>
                <w:p w14:paraId="660B815D">
                  <w:pPr>
                    <w:pStyle w:val="86"/>
                    <w:rPr>
                      <w:lang w:val="pt-BR"/>
                    </w:rPr>
                  </w:pPr>
                  <w:r>
                    <w:rPr>
                      <w:rFonts w:hint="eastAsia"/>
                      <w:lang w:val="pt-BR"/>
                    </w:rPr>
                    <w:t>4</w:t>
                  </w:r>
                </w:p>
              </w:tc>
              <w:tc>
                <w:tcPr>
                  <w:tcW w:w="339" w:type="pct"/>
                  <w:vMerge w:val="restart"/>
                  <w:vAlign w:val="center"/>
                </w:tcPr>
                <w:p w14:paraId="626EBA07">
                  <w:pPr>
                    <w:pStyle w:val="86"/>
                    <w:rPr>
                      <w:lang w:val="pt-BR"/>
                    </w:rPr>
                  </w:pPr>
                  <w:r>
                    <w:rPr>
                      <w:lang w:val="pt-BR"/>
                    </w:rPr>
                    <w:t>环保工程</w:t>
                  </w:r>
                </w:p>
              </w:tc>
              <w:tc>
                <w:tcPr>
                  <w:tcW w:w="744" w:type="pct"/>
                  <w:vAlign w:val="center"/>
                </w:tcPr>
                <w:p w14:paraId="4CE3984D">
                  <w:pPr>
                    <w:pStyle w:val="86"/>
                  </w:pPr>
                  <w:r>
                    <w:t>废气</w:t>
                  </w:r>
                </w:p>
              </w:tc>
              <w:tc>
                <w:tcPr>
                  <w:tcW w:w="1064" w:type="pct"/>
                  <w:vAlign w:val="center"/>
                </w:tcPr>
                <w:p w14:paraId="6098A13D">
                  <w:pPr>
                    <w:pStyle w:val="86"/>
                  </w:pPr>
                  <w:r>
                    <w:rPr>
                      <w:rFonts w:hint="eastAsia"/>
                    </w:rPr>
                    <w:t>熔融挤出</w:t>
                  </w:r>
                </w:p>
              </w:tc>
              <w:tc>
                <w:tcPr>
                  <w:tcW w:w="685" w:type="pct"/>
                  <w:vAlign w:val="center"/>
                </w:tcPr>
                <w:p w14:paraId="24753115">
                  <w:pPr>
                    <w:pStyle w:val="86"/>
                  </w:pPr>
                  <w:r>
                    <w:rPr>
                      <w:rFonts w:hint="eastAsia"/>
                    </w:rPr>
                    <w:t>集气罩</w:t>
                  </w:r>
                </w:p>
              </w:tc>
              <w:tc>
                <w:tcPr>
                  <w:tcW w:w="1508" w:type="pct"/>
                  <w:vAlign w:val="center"/>
                </w:tcPr>
                <w:p w14:paraId="5A6E9BE4">
                  <w:pPr>
                    <w:pStyle w:val="86"/>
                  </w:pPr>
                  <w:r>
                    <w:rPr>
                      <w:rFonts w:hint="eastAsia"/>
                    </w:rPr>
                    <w:t>工业高压静电油烟净化装置+活性炭吸附/脱附-催化燃烧装置（T</w:t>
                  </w:r>
                  <w:r>
                    <w:t>A002</w:t>
                  </w:r>
                  <w:r>
                    <w:rPr>
                      <w:rFonts w:hint="eastAsia"/>
                    </w:rPr>
                    <w:t>）+</w:t>
                  </w:r>
                  <w:r>
                    <w:t>15</w:t>
                  </w:r>
                  <w:r>
                    <w:rPr>
                      <w:rFonts w:hint="eastAsia"/>
                    </w:rPr>
                    <w:t>m高排气筒（D</w:t>
                  </w:r>
                  <w:r>
                    <w:t>A002</w:t>
                  </w:r>
                  <w:r>
                    <w:rPr>
                      <w:rFonts w:hint="eastAsia"/>
                    </w:rPr>
                    <w:t>）</w:t>
                  </w:r>
                </w:p>
              </w:tc>
              <w:tc>
                <w:tcPr>
                  <w:tcW w:w="342" w:type="pct"/>
                  <w:vAlign w:val="center"/>
                </w:tcPr>
                <w:p w14:paraId="605F67E5">
                  <w:pPr>
                    <w:pStyle w:val="86"/>
                  </w:pPr>
                  <w:r>
                    <w:rPr>
                      <w:rFonts w:hint="eastAsia"/>
                    </w:rPr>
                    <w:t>新建</w:t>
                  </w:r>
                </w:p>
              </w:tc>
            </w:tr>
            <w:tr w14:paraId="66E08F6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Merge w:val="continue"/>
                  <w:vAlign w:val="center"/>
                </w:tcPr>
                <w:p w14:paraId="732A443C">
                  <w:pPr>
                    <w:pStyle w:val="86"/>
                    <w:rPr>
                      <w:lang w:val="pt-BR"/>
                    </w:rPr>
                  </w:pPr>
                </w:p>
              </w:tc>
              <w:tc>
                <w:tcPr>
                  <w:tcW w:w="339" w:type="pct"/>
                  <w:vMerge w:val="continue"/>
                  <w:vAlign w:val="center"/>
                </w:tcPr>
                <w:p w14:paraId="3788B2F9">
                  <w:pPr>
                    <w:pStyle w:val="86"/>
                    <w:rPr>
                      <w:lang w:val="pt-BR"/>
                    </w:rPr>
                  </w:pPr>
                </w:p>
              </w:tc>
              <w:tc>
                <w:tcPr>
                  <w:tcW w:w="744" w:type="pct"/>
                  <w:vMerge w:val="restart"/>
                  <w:vAlign w:val="center"/>
                </w:tcPr>
                <w:p w14:paraId="1246D9FE">
                  <w:pPr>
                    <w:pStyle w:val="86"/>
                  </w:pPr>
                  <w:r>
                    <w:rPr>
                      <w:rFonts w:hint="eastAsia"/>
                    </w:rPr>
                    <w:t>废水</w:t>
                  </w:r>
                </w:p>
              </w:tc>
              <w:tc>
                <w:tcPr>
                  <w:tcW w:w="1064" w:type="pct"/>
                  <w:vAlign w:val="center"/>
                </w:tcPr>
                <w:p w14:paraId="4325AF74">
                  <w:pPr>
                    <w:pStyle w:val="86"/>
                  </w:pPr>
                  <w:r>
                    <w:rPr>
                      <w:rFonts w:hint="eastAsia"/>
                    </w:rPr>
                    <w:t>生活污水</w:t>
                  </w:r>
                </w:p>
              </w:tc>
              <w:tc>
                <w:tcPr>
                  <w:tcW w:w="2193" w:type="pct"/>
                  <w:gridSpan w:val="2"/>
                  <w:vAlign w:val="center"/>
                </w:tcPr>
                <w:p w14:paraId="52D224CA">
                  <w:pPr>
                    <w:pStyle w:val="86"/>
                  </w:pPr>
                  <w:r>
                    <w:rPr>
                      <w:rFonts w:hint="eastAsia"/>
                    </w:rPr>
                    <w:t>化粪池处理后经管网排入获嘉县香山家园污水处理厂进一步处理</w:t>
                  </w:r>
                </w:p>
              </w:tc>
              <w:tc>
                <w:tcPr>
                  <w:tcW w:w="342" w:type="pct"/>
                  <w:vAlign w:val="center"/>
                </w:tcPr>
                <w:p w14:paraId="62DA2C40">
                  <w:pPr>
                    <w:pStyle w:val="86"/>
                  </w:pPr>
                  <w:r>
                    <w:rPr>
                      <w:rFonts w:hint="eastAsia"/>
                    </w:rPr>
                    <w:t>新建</w:t>
                  </w:r>
                </w:p>
              </w:tc>
            </w:tr>
            <w:tr w14:paraId="6C1157A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Merge w:val="continue"/>
                  <w:vAlign w:val="center"/>
                </w:tcPr>
                <w:p w14:paraId="31578A80">
                  <w:pPr>
                    <w:pStyle w:val="86"/>
                    <w:rPr>
                      <w:lang w:val="pt-BR"/>
                    </w:rPr>
                  </w:pPr>
                </w:p>
              </w:tc>
              <w:tc>
                <w:tcPr>
                  <w:tcW w:w="339" w:type="pct"/>
                  <w:vMerge w:val="continue"/>
                  <w:vAlign w:val="center"/>
                </w:tcPr>
                <w:p w14:paraId="06691AFC">
                  <w:pPr>
                    <w:pStyle w:val="86"/>
                    <w:rPr>
                      <w:lang w:val="pt-BR"/>
                    </w:rPr>
                  </w:pPr>
                </w:p>
              </w:tc>
              <w:tc>
                <w:tcPr>
                  <w:tcW w:w="744" w:type="pct"/>
                  <w:vMerge w:val="continue"/>
                  <w:vAlign w:val="center"/>
                </w:tcPr>
                <w:p w14:paraId="093CD7CB">
                  <w:pPr>
                    <w:pStyle w:val="86"/>
                  </w:pPr>
                </w:p>
              </w:tc>
              <w:tc>
                <w:tcPr>
                  <w:tcW w:w="1064" w:type="pct"/>
                  <w:vAlign w:val="center"/>
                </w:tcPr>
                <w:p w14:paraId="7E2F3A98">
                  <w:pPr>
                    <w:pStyle w:val="86"/>
                  </w:pPr>
                  <w:r>
                    <w:rPr>
                      <w:rFonts w:hint="eastAsia"/>
                    </w:rPr>
                    <w:t>生产废水</w:t>
                  </w:r>
                </w:p>
              </w:tc>
              <w:tc>
                <w:tcPr>
                  <w:tcW w:w="2193" w:type="pct"/>
                  <w:gridSpan w:val="2"/>
                  <w:vAlign w:val="center"/>
                </w:tcPr>
                <w:p w14:paraId="74E7CDBB">
                  <w:pPr>
                    <w:pStyle w:val="86"/>
                  </w:pPr>
                  <w:r>
                    <w:rPr>
                      <w:rFonts w:hint="eastAsia"/>
                    </w:rPr>
                    <w:t>经厂内一体化污水处理站处理后经管网排入获嘉县香山家园污水处理厂进一步处理</w:t>
                  </w:r>
                </w:p>
              </w:tc>
              <w:tc>
                <w:tcPr>
                  <w:tcW w:w="342" w:type="pct"/>
                  <w:vAlign w:val="center"/>
                </w:tcPr>
                <w:p w14:paraId="7BCC6A27">
                  <w:pPr>
                    <w:pStyle w:val="86"/>
                  </w:pPr>
                  <w:r>
                    <w:rPr>
                      <w:rFonts w:hint="eastAsia"/>
                    </w:rPr>
                    <w:t>新建</w:t>
                  </w:r>
                </w:p>
              </w:tc>
            </w:tr>
            <w:tr w14:paraId="41B60DF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Merge w:val="continue"/>
                  <w:vAlign w:val="center"/>
                </w:tcPr>
                <w:p w14:paraId="4E94A700">
                  <w:pPr>
                    <w:pStyle w:val="86"/>
                    <w:rPr>
                      <w:lang w:val="pt-BR"/>
                    </w:rPr>
                  </w:pPr>
                </w:p>
              </w:tc>
              <w:tc>
                <w:tcPr>
                  <w:tcW w:w="339" w:type="pct"/>
                  <w:vMerge w:val="continue"/>
                  <w:vAlign w:val="center"/>
                </w:tcPr>
                <w:p w14:paraId="37D78CEF">
                  <w:pPr>
                    <w:pStyle w:val="86"/>
                    <w:rPr>
                      <w:lang w:val="pt-BR"/>
                    </w:rPr>
                  </w:pPr>
                </w:p>
              </w:tc>
              <w:tc>
                <w:tcPr>
                  <w:tcW w:w="744" w:type="pct"/>
                  <w:vAlign w:val="center"/>
                </w:tcPr>
                <w:p w14:paraId="63466FCF">
                  <w:pPr>
                    <w:pStyle w:val="86"/>
                  </w:pPr>
                  <w:r>
                    <w:rPr>
                      <w:rFonts w:hint="eastAsia"/>
                    </w:rPr>
                    <w:t>噪声</w:t>
                  </w:r>
                </w:p>
              </w:tc>
              <w:tc>
                <w:tcPr>
                  <w:tcW w:w="3257" w:type="pct"/>
                  <w:gridSpan w:val="3"/>
                  <w:vAlign w:val="center"/>
                </w:tcPr>
                <w:p w14:paraId="4291A1B3">
                  <w:pPr>
                    <w:pStyle w:val="86"/>
                  </w:pPr>
                  <w:r>
                    <w:t>基础减振、厂房隔声</w:t>
                  </w:r>
                </w:p>
              </w:tc>
              <w:tc>
                <w:tcPr>
                  <w:tcW w:w="342" w:type="pct"/>
                  <w:vAlign w:val="center"/>
                </w:tcPr>
                <w:p w14:paraId="67F51F13">
                  <w:pPr>
                    <w:pStyle w:val="86"/>
                  </w:pPr>
                  <w:r>
                    <w:rPr>
                      <w:rFonts w:hint="eastAsia"/>
                    </w:rPr>
                    <w:t>新建</w:t>
                  </w:r>
                </w:p>
              </w:tc>
            </w:tr>
            <w:tr w14:paraId="132B121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Merge w:val="continue"/>
                  <w:vAlign w:val="center"/>
                </w:tcPr>
                <w:p w14:paraId="1239F129">
                  <w:pPr>
                    <w:pStyle w:val="86"/>
                    <w:rPr>
                      <w:lang w:val="pt-BR"/>
                    </w:rPr>
                  </w:pPr>
                </w:p>
              </w:tc>
              <w:tc>
                <w:tcPr>
                  <w:tcW w:w="339" w:type="pct"/>
                  <w:vMerge w:val="continue"/>
                  <w:vAlign w:val="center"/>
                </w:tcPr>
                <w:p w14:paraId="53E56213">
                  <w:pPr>
                    <w:pStyle w:val="86"/>
                    <w:rPr>
                      <w:lang w:val="pt-BR"/>
                    </w:rPr>
                  </w:pPr>
                </w:p>
              </w:tc>
              <w:tc>
                <w:tcPr>
                  <w:tcW w:w="744" w:type="pct"/>
                  <w:vAlign w:val="center"/>
                </w:tcPr>
                <w:p w14:paraId="21F044E0">
                  <w:pPr>
                    <w:pStyle w:val="86"/>
                  </w:pPr>
                  <w:r>
                    <w:rPr>
                      <w:rFonts w:hint="eastAsia"/>
                    </w:rPr>
                    <w:t>固废</w:t>
                  </w:r>
                </w:p>
              </w:tc>
              <w:tc>
                <w:tcPr>
                  <w:tcW w:w="3257" w:type="pct"/>
                  <w:gridSpan w:val="3"/>
                  <w:vAlign w:val="center"/>
                </w:tcPr>
                <w:p w14:paraId="2109A589">
                  <w:pPr>
                    <w:pStyle w:val="86"/>
                  </w:pPr>
                  <w:r>
                    <w:t>一般固废</w:t>
                  </w:r>
                  <w:r>
                    <w:rPr>
                      <w:rFonts w:hint="eastAsia"/>
                    </w:rPr>
                    <w:t>间</w:t>
                  </w:r>
                  <w:r>
                    <w:t>1座（10m</w:t>
                  </w:r>
                  <w:r>
                    <w:rPr>
                      <w:vertAlign w:val="superscript"/>
                    </w:rPr>
                    <w:t>2</w:t>
                  </w:r>
                  <w:r>
                    <w:t>）</w:t>
                  </w:r>
                  <w:r>
                    <w:rPr>
                      <w:rFonts w:hint="eastAsia"/>
                    </w:rPr>
                    <w:t>、危废暂存间1</w:t>
                  </w:r>
                  <w:r>
                    <w:t>座（</w:t>
                  </w:r>
                  <w:r>
                    <w:rPr>
                      <w:rFonts w:hint="eastAsia"/>
                    </w:rPr>
                    <w:t>5</w:t>
                  </w:r>
                  <w:r>
                    <w:t>m</w:t>
                  </w:r>
                  <w:r>
                    <w:rPr>
                      <w:vertAlign w:val="superscript"/>
                    </w:rPr>
                    <w:t>2</w:t>
                  </w:r>
                  <w:r>
                    <w:t>）</w:t>
                  </w:r>
                </w:p>
              </w:tc>
              <w:tc>
                <w:tcPr>
                  <w:tcW w:w="342" w:type="pct"/>
                  <w:vAlign w:val="center"/>
                </w:tcPr>
                <w:p w14:paraId="0A204606">
                  <w:pPr>
                    <w:pStyle w:val="86"/>
                  </w:pPr>
                  <w:r>
                    <w:rPr>
                      <w:rFonts w:hint="eastAsia"/>
                    </w:rPr>
                    <w:t>新建</w:t>
                  </w:r>
                </w:p>
              </w:tc>
            </w:tr>
            <w:tr w14:paraId="3EE5949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Merge w:val="restart"/>
                  <w:vAlign w:val="center"/>
                </w:tcPr>
                <w:p w14:paraId="731F8823">
                  <w:pPr>
                    <w:pStyle w:val="86"/>
                    <w:rPr>
                      <w:lang w:val="pt-BR"/>
                    </w:rPr>
                  </w:pPr>
                  <w:r>
                    <w:rPr>
                      <w:lang w:val="pt-BR"/>
                    </w:rPr>
                    <w:t>5</w:t>
                  </w:r>
                </w:p>
              </w:tc>
              <w:tc>
                <w:tcPr>
                  <w:tcW w:w="339" w:type="pct"/>
                  <w:vMerge w:val="restart"/>
                  <w:vAlign w:val="center"/>
                </w:tcPr>
                <w:p w14:paraId="1BB69A42">
                  <w:pPr>
                    <w:pStyle w:val="86"/>
                    <w:rPr>
                      <w:lang w:val="pt-BR"/>
                    </w:rPr>
                  </w:pPr>
                  <w:r>
                    <w:rPr>
                      <w:lang w:val="pt-BR"/>
                    </w:rPr>
                    <w:t>公用工程</w:t>
                  </w:r>
                </w:p>
              </w:tc>
              <w:tc>
                <w:tcPr>
                  <w:tcW w:w="744" w:type="pct"/>
                  <w:vAlign w:val="center"/>
                </w:tcPr>
                <w:p w14:paraId="47488D0C">
                  <w:pPr>
                    <w:pStyle w:val="86"/>
                    <w:rPr>
                      <w:lang w:val="pt-BR"/>
                    </w:rPr>
                  </w:pPr>
                  <w:r>
                    <w:rPr>
                      <w:lang w:val="pt-BR"/>
                    </w:rPr>
                    <w:t>水</w:t>
                  </w:r>
                </w:p>
              </w:tc>
              <w:tc>
                <w:tcPr>
                  <w:tcW w:w="3257" w:type="pct"/>
                  <w:gridSpan w:val="3"/>
                  <w:vAlign w:val="center"/>
                </w:tcPr>
                <w:p w14:paraId="4557F29B">
                  <w:pPr>
                    <w:pStyle w:val="86"/>
                  </w:pPr>
                  <w:r>
                    <w:rPr>
                      <w:rFonts w:hint="eastAsia"/>
                    </w:rPr>
                    <w:t>产业园区市政自来水管网</w:t>
                  </w:r>
                </w:p>
              </w:tc>
              <w:tc>
                <w:tcPr>
                  <w:tcW w:w="342" w:type="pct"/>
                  <w:vAlign w:val="center"/>
                </w:tcPr>
                <w:p w14:paraId="5A02F7B4">
                  <w:pPr>
                    <w:pStyle w:val="86"/>
                    <w:rPr>
                      <w:lang w:val="pt-BR"/>
                    </w:rPr>
                  </w:pPr>
                  <w:r>
                    <w:rPr>
                      <w:lang w:val="pt-BR"/>
                    </w:rPr>
                    <w:t>/</w:t>
                  </w:r>
                </w:p>
              </w:tc>
            </w:tr>
            <w:tr w14:paraId="23303FA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18" w:type="pct"/>
                  <w:vMerge w:val="continue"/>
                  <w:vAlign w:val="center"/>
                </w:tcPr>
                <w:p w14:paraId="6EDB8A40">
                  <w:pPr>
                    <w:pStyle w:val="86"/>
                    <w:rPr>
                      <w:lang w:val="pt-BR"/>
                    </w:rPr>
                  </w:pPr>
                </w:p>
              </w:tc>
              <w:tc>
                <w:tcPr>
                  <w:tcW w:w="339" w:type="pct"/>
                  <w:vMerge w:val="continue"/>
                  <w:vAlign w:val="center"/>
                </w:tcPr>
                <w:p w14:paraId="77539E7A">
                  <w:pPr>
                    <w:pStyle w:val="86"/>
                    <w:rPr>
                      <w:lang w:val="pt-BR"/>
                    </w:rPr>
                  </w:pPr>
                </w:p>
              </w:tc>
              <w:tc>
                <w:tcPr>
                  <w:tcW w:w="744" w:type="pct"/>
                  <w:vAlign w:val="center"/>
                </w:tcPr>
                <w:p w14:paraId="5DF39771">
                  <w:pPr>
                    <w:pStyle w:val="86"/>
                    <w:rPr>
                      <w:lang w:val="pt-BR"/>
                    </w:rPr>
                  </w:pPr>
                  <w:r>
                    <w:rPr>
                      <w:lang w:val="pt-BR"/>
                    </w:rPr>
                    <w:t>电</w:t>
                  </w:r>
                </w:p>
              </w:tc>
              <w:tc>
                <w:tcPr>
                  <w:tcW w:w="3257" w:type="pct"/>
                  <w:gridSpan w:val="3"/>
                  <w:vAlign w:val="center"/>
                </w:tcPr>
                <w:p w14:paraId="6505C442">
                  <w:pPr>
                    <w:pStyle w:val="86"/>
                  </w:pPr>
                  <w:r>
                    <w:rPr>
                      <w:rFonts w:hint="eastAsia"/>
                    </w:rPr>
                    <w:t>由当地电网供给</w:t>
                  </w:r>
                </w:p>
              </w:tc>
              <w:tc>
                <w:tcPr>
                  <w:tcW w:w="342" w:type="pct"/>
                  <w:vAlign w:val="center"/>
                </w:tcPr>
                <w:p w14:paraId="2946FBA2">
                  <w:pPr>
                    <w:pStyle w:val="86"/>
                    <w:rPr>
                      <w:lang w:val="pt-BR"/>
                    </w:rPr>
                  </w:pPr>
                </w:p>
              </w:tc>
            </w:tr>
          </w:tbl>
          <w:p w14:paraId="56605794">
            <w:pPr>
              <w:pStyle w:val="90"/>
              <w:ind w:firstLine="482"/>
            </w:pPr>
            <w:r>
              <w:t>3、</w:t>
            </w:r>
            <w:r>
              <w:rPr>
                <w:rFonts w:hint="eastAsia"/>
              </w:rPr>
              <w:t>产品方案</w:t>
            </w:r>
          </w:p>
          <w:p w14:paraId="490CB63C">
            <w:pPr>
              <w:pStyle w:val="28"/>
              <w:ind w:firstLine="480"/>
            </w:pPr>
            <w:r>
              <w:t>项目</w:t>
            </w:r>
            <w:r>
              <w:rPr>
                <w:rFonts w:hint="eastAsia"/>
              </w:rPr>
              <w:t>产品方案及产量</w:t>
            </w:r>
            <w:r>
              <w:t>详见下表：</w:t>
            </w:r>
          </w:p>
          <w:p w14:paraId="07B8041A">
            <w:pPr>
              <w:pStyle w:val="67"/>
              <w:ind w:firstLine="480"/>
              <w:rPr>
                <w:lang w:val="pt-BR"/>
              </w:rPr>
            </w:pPr>
            <w:r>
              <w:rPr>
                <w:lang w:val="pt-BR"/>
              </w:rPr>
              <w:t xml:space="preserve">                 </w:t>
            </w:r>
            <w:r>
              <w:rPr>
                <w:rFonts w:hint="eastAsia"/>
                <w:lang w:val="pt-BR"/>
              </w:rPr>
              <w:t>项目产品及产量一览表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723"/>
              <w:gridCol w:w="1147"/>
              <w:gridCol w:w="1147"/>
              <w:gridCol w:w="1235"/>
              <w:gridCol w:w="2491"/>
            </w:tblGrid>
            <w:tr w14:paraId="07F081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vMerge w:val="restart"/>
                  <w:vAlign w:val="center"/>
                </w:tcPr>
                <w:p w14:paraId="398206ED">
                  <w:pPr>
                    <w:pStyle w:val="86"/>
                    <w:rPr>
                      <w:b/>
                      <w:bCs w:val="0"/>
                      <w:lang w:val="pt-BR"/>
                    </w:rPr>
                  </w:pPr>
                  <w:r>
                    <w:rPr>
                      <w:b/>
                      <w:bCs w:val="0"/>
                    </w:rPr>
                    <w:t>序号</w:t>
                  </w:r>
                </w:p>
              </w:tc>
              <w:tc>
                <w:tcPr>
                  <w:tcW w:w="1010" w:type="pct"/>
                  <w:vMerge w:val="restart"/>
                  <w:vAlign w:val="center"/>
                </w:tcPr>
                <w:p w14:paraId="4C5095C0">
                  <w:pPr>
                    <w:pStyle w:val="86"/>
                    <w:rPr>
                      <w:b/>
                      <w:bCs w:val="0"/>
                      <w:lang w:val="pt-BR"/>
                    </w:rPr>
                  </w:pPr>
                  <w:r>
                    <w:rPr>
                      <w:b/>
                      <w:bCs w:val="0"/>
                    </w:rPr>
                    <w:t>产品类型</w:t>
                  </w:r>
                </w:p>
              </w:tc>
              <w:tc>
                <w:tcPr>
                  <w:tcW w:w="2068" w:type="pct"/>
                  <w:gridSpan w:val="3"/>
                  <w:vAlign w:val="center"/>
                </w:tcPr>
                <w:p w14:paraId="4A8DD6EB">
                  <w:pPr>
                    <w:pStyle w:val="86"/>
                    <w:rPr>
                      <w:b/>
                      <w:bCs w:val="0"/>
                      <w:lang w:val="pt-BR"/>
                    </w:rPr>
                  </w:pPr>
                  <w:r>
                    <w:rPr>
                      <w:rFonts w:hint="eastAsia"/>
                      <w:b/>
                      <w:bCs w:val="0"/>
                    </w:rPr>
                    <w:t>产量</w:t>
                  </w:r>
                </w:p>
              </w:tc>
              <w:tc>
                <w:tcPr>
                  <w:tcW w:w="1460" w:type="pct"/>
                  <w:vMerge w:val="restart"/>
                  <w:vAlign w:val="center"/>
                </w:tcPr>
                <w:p w14:paraId="3E7ACBFD">
                  <w:pPr>
                    <w:pStyle w:val="86"/>
                    <w:rPr>
                      <w:b/>
                      <w:bCs w:val="0"/>
                      <w:lang w:val="pt-BR"/>
                    </w:rPr>
                  </w:pPr>
                  <w:r>
                    <w:rPr>
                      <w:rFonts w:hint="eastAsia"/>
                      <w:b/>
                      <w:bCs w:val="0"/>
                    </w:rPr>
                    <w:t>单位</w:t>
                  </w:r>
                </w:p>
              </w:tc>
            </w:tr>
            <w:tr w14:paraId="05A27E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vMerge w:val="continue"/>
                  <w:vAlign w:val="center"/>
                </w:tcPr>
                <w:p w14:paraId="067BDD2F">
                  <w:pPr>
                    <w:pStyle w:val="86"/>
                    <w:rPr>
                      <w:b/>
                      <w:bCs w:val="0"/>
                    </w:rPr>
                  </w:pPr>
                </w:p>
              </w:tc>
              <w:tc>
                <w:tcPr>
                  <w:tcW w:w="1010" w:type="pct"/>
                  <w:vMerge w:val="continue"/>
                  <w:vAlign w:val="center"/>
                </w:tcPr>
                <w:p w14:paraId="58E0FDBC">
                  <w:pPr>
                    <w:pStyle w:val="86"/>
                    <w:rPr>
                      <w:b/>
                      <w:bCs w:val="0"/>
                    </w:rPr>
                  </w:pPr>
                </w:p>
              </w:tc>
              <w:tc>
                <w:tcPr>
                  <w:tcW w:w="672" w:type="pct"/>
                  <w:vAlign w:val="center"/>
                </w:tcPr>
                <w:p w14:paraId="2CE91D37">
                  <w:pPr>
                    <w:pStyle w:val="86"/>
                    <w:rPr>
                      <w:b/>
                      <w:bCs w:val="0"/>
                    </w:rPr>
                  </w:pPr>
                  <w:r>
                    <w:rPr>
                      <w:rFonts w:hint="eastAsia"/>
                      <w:b/>
                      <w:color w:val="000000" w:themeColor="text1"/>
                      <w:szCs w:val="21"/>
                      <w14:textFill>
                        <w14:solidFill>
                          <w14:schemeClr w14:val="tx1"/>
                        </w14:solidFill>
                      </w14:textFill>
                    </w:rPr>
                    <w:t>扩建前</w:t>
                  </w:r>
                </w:p>
              </w:tc>
              <w:tc>
                <w:tcPr>
                  <w:tcW w:w="672" w:type="pct"/>
                  <w:vAlign w:val="center"/>
                </w:tcPr>
                <w:p w14:paraId="061296EF">
                  <w:pPr>
                    <w:pStyle w:val="86"/>
                    <w:rPr>
                      <w:b/>
                      <w:bCs w:val="0"/>
                    </w:rPr>
                  </w:pPr>
                  <w:r>
                    <w:rPr>
                      <w:rFonts w:hint="eastAsia"/>
                      <w:b/>
                      <w:color w:val="000000" w:themeColor="text1"/>
                      <w:szCs w:val="21"/>
                      <w14:textFill>
                        <w14:solidFill>
                          <w14:schemeClr w14:val="tx1"/>
                        </w14:solidFill>
                      </w14:textFill>
                    </w:rPr>
                    <w:t>本项目</w:t>
                  </w:r>
                </w:p>
              </w:tc>
              <w:tc>
                <w:tcPr>
                  <w:tcW w:w="724" w:type="pct"/>
                  <w:vAlign w:val="center"/>
                </w:tcPr>
                <w:p w14:paraId="4A72EED6">
                  <w:pPr>
                    <w:pStyle w:val="86"/>
                    <w:rPr>
                      <w:b/>
                      <w:bCs w:val="0"/>
                    </w:rPr>
                  </w:pPr>
                  <w:r>
                    <w:rPr>
                      <w:rFonts w:hint="eastAsia"/>
                      <w:b/>
                      <w:color w:val="000000" w:themeColor="text1"/>
                      <w:szCs w:val="21"/>
                      <w14:textFill>
                        <w14:solidFill>
                          <w14:schemeClr w14:val="tx1"/>
                        </w14:solidFill>
                      </w14:textFill>
                    </w:rPr>
                    <w:t>本项目建成后全厂</w:t>
                  </w:r>
                </w:p>
              </w:tc>
              <w:tc>
                <w:tcPr>
                  <w:tcW w:w="1460" w:type="pct"/>
                  <w:vMerge w:val="continue"/>
                  <w:vAlign w:val="center"/>
                </w:tcPr>
                <w:p w14:paraId="364163E8">
                  <w:pPr>
                    <w:pStyle w:val="86"/>
                    <w:rPr>
                      <w:b/>
                      <w:bCs w:val="0"/>
                    </w:rPr>
                  </w:pPr>
                </w:p>
              </w:tc>
            </w:tr>
            <w:tr w14:paraId="10BEDD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vAlign w:val="center"/>
                </w:tcPr>
                <w:p w14:paraId="30B252FA">
                  <w:pPr>
                    <w:pStyle w:val="86"/>
                    <w:rPr>
                      <w:lang w:val="pt-BR"/>
                    </w:rPr>
                  </w:pPr>
                  <w:r>
                    <w:rPr>
                      <w:lang w:val="pt-BR"/>
                    </w:rPr>
                    <w:t>1</w:t>
                  </w:r>
                </w:p>
              </w:tc>
              <w:tc>
                <w:tcPr>
                  <w:tcW w:w="1010" w:type="pct"/>
                  <w:vAlign w:val="center"/>
                </w:tcPr>
                <w:p w14:paraId="4425FEF0">
                  <w:pPr>
                    <w:pStyle w:val="86"/>
                    <w:rPr>
                      <w:lang w:val="pt-BR"/>
                    </w:rPr>
                  </w:pPr>
                  <w:r>
                    <w:rPr>
                      <w:rFonts w:hint="eastAsia"/>
                      <w:lang w:val="pt-BR"/>
                    </w:rPr>
                    <w:t>再生塑料颗粒</w:t>
                  </w:r>
                </w:p>
              </w:tc>
              <w:tc>
                <w:tcPr>
                  <w:tcW w:w="672" w:type="pct"/>
                  <w:vAlign w:val="center"/>
                </w:tcPr>
                <w:p w14:paraId="7198731C">
                  <w:pPr>
                    <w:pStyle w:val="86"/>
                  </w:pPr>
                  <w:r>
                    <w:t>10000</w:t>
                  </w:r>
                </w:p>
              </w:tc>
              <w:tc>
                <w:tcPr>
                  <w:tcW w:w="672" w:type="pct"/>
                  <w:vAlign w:val="center"/>
                </w:tcPr>
                <w:p w14:paraId="0084EF90">
                  <w:pPr>
                    <w:pStyle w:val="86"/>
                  </w:pPr>
                  <w:r>
                    <w:rPr>
                      <w:rFonts w:hint="eastAsia"/>
                    </w:rPr>
                    <w:t>2</w:t>
                  </w:r>
                  <w:r>
                    <w:t>000</w:t>
                  </w:r>
                </w:p>
              </w:tc>
              <w:tc>
                <w:tcPr>
                  <w:tcW w:w="724" w:type="pct"/>
                  <w:vAlign w:val="center"/>
                </w:tcPr>
                <w:p w14:paraId="00B206EC">
                  <w:pPr>
                    <w:pStyle w:val="86"/>
                  </w:pPr>
                  <w:r>
                    <w:rPr>
                      <w:rFonts w:hint="eastAsia"/>
                    </w:rPr>
                    <w:t>1</w:t>
                  </w:r>
                  <w:r>
                    <w:t>2000</w:t>
                  </w:r>
                </w:p>
              </w:tc>
              <w:tc>
                <w:tcPr>
                  <w:tcW w:w="1460" w:type="pct"/>
                  <w:vAlign w:val="center"/>
                </w:tcPr>
                <w:p w14:paraId="48C03505">
                  <w:pPr>
                    <w:pStyle w:val="86"/>
                  </w:pPr>
                  <w:r>
                    <w:t>吨/年</w:t>
                  </w:r>
                </w:p>
              </w:tc>
            </w:tr>
          </w:tbl>
          <w:p w14:paraId="0552D69C">
            <w:pPr>
              <w:spacing w:line="46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4、主要</w:t>
            </w:r>
            <w:r>
              <w:rPr>
                <w:rFonts w:hint="eastAsia"/>
                <w:b/>
                <w:color w:val="000000" w:themeColor="text1"/>
                <w:sz w:val="24"/>
                <w14:textFill>
                  <w14:solidFill>
                    <w14:schemeClr w14:val="tx1"/>
                  </w14:solidFill>
                </w14:textFill>
              </w:rPr>
              <w:t>生产</w:t>
            </w:r>
            <w:r>
              <w:rPr>
                <w:b/>
                <w:color w:val="000000" w:themeColor="text1"/>
                <w:sz w:val="24"/>
                <w14:textFill>
                  <w14:solidFill>
                    <w14:schemeClr w14:val="tx1"/>
                  </w14:solidFill>
                </w14:textFill>
              </w:rPr>
              <w:t>设备</w:t>
            </w:r>
          </w:p>
          <w:p w14:paraId="2980966A">
            <w:pPr>
              <w:pStyle w:val="28"/>
              <w:ind w:firstLine="480"/>
            </w:pPr>
            <w:r>
              <w:rPr>
                <w:rFonts w:hint="eastAsia"/>
              </w:rPr>
              <w:t>本项目为年加工2000吨再生塑料颗粒技术改造项目，在建设新项目的同时对现有工程部分老旧设备进行更换，提高安全环保及节能水平，不新增现有工程产能。变更设备为180型挤出机升级为230型挤出机（电圈加热改为电磁加热，提高电能利用率），破碎工序人工投料改为自动喂料机投料。</w:t>
            </w:r>
          </w:p>
          <w:p w14:paraId="3F5B2AB6">
            <w:pPr>
              <w:pStyle w:val="28"/>
              <w:ind w:firstLine="480"/>
            </w:pPr>
            <w:r>
              <w:rPr>
                <w:rFonts w:hint="eastAsia"/>
              </w:rPr>
              <w:t>现有工程</w:t>
            </w:r>
            <w:r>
              <w:t>主要</w:t>
            </w:r>
            <w:r>
              <w:rPr>
                <w:rFonts w:hint="eastAsia"/>
              </w:rPr>
              <w:t>生产</w:t>
            </w:r>
            <w:r>
              <w:t>设备见下表</w:t>
            </w:r>
            <w:r>
              <w:rPr>
                <w:rFonts w:hint="eastAsia"/>
              </w:rPr>
              <w:t>：</w:t>
            </w:r>
          </w:p>
          <w:p w14:paraId="278251EC">
            <w:pPr>
              <w:pStyle w:val="67"/>
              <w:ind w:firstLine="480"/>
              <w:rPr>
                <w:color w:val="auto"/>
              </w:rPr>
            </w:pPr>
            <w:r>
              <w:rPr>
                <w:color w:val="auto"/>
              </w:rPr>
              <w:t xml:space="preserve">                  </w:t>
            </w:r>
            <w:r>
              <w:rPr>
                <w:rFonts w:hint="eastAsia"/>
                <w:color w:val="auto"/>
              </w:rPr>
              <w:t>现有工程主要</w:t>
            </w:r>
            <w:r>
              <w:rPr>
                <w:color w:val="auto"/>
              </w:rPr>
              <w:t>设备一览表</w:t>
            </w:r>
          </w:p>
          <w:tbl>
            <w:tblPr>
              <w:tblStyle w:val="21"/>
              <w:tblW w:w="497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794"/>
              <w:gridCol w:w="1727"/>
              <w:gridCol w:w="1576"/>
              <w:gridCol w:w="1348"/>
              <w:gridCol w:w="1357"/>
            </w:tblGrid>
            <w:tr w14:paraId="3418E8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4D8DA15A">
                  <w:pPr>
                    <w:pStyle w:val="86"/>
                    <w:rPr>
                      <w:b/>
                      <w:bCs w:val="0"/>
                    </w:rPr>
                  </w:pPr>
                  <w:r>
                    <w:rPr>
                      <w:b/>
                      <w:bCs w:val="0"/>
                    </w:rPr>
                    <w:t>序号</w:t>
                  </w:r>
                </w:p>
              </w:tc>
              <w:tc>
                <w:tcPr>
                  <w:tcW w:w="2066" w:type="dxa"/>
                  <w:vAlign w:val="center"/>
                </w:tcPr>
                <w:p w14:paraId="4D73D2A2">
                  <w:pPr>
                    <w:pStyle w:val="86"/>
                    <w:rPr>
                      <w:b/>
                      <w:bCs w:val="0"/>
                    </w:rPr>
                  </w:pPr>
                  <w:r>
                    <w:rPr>
                      <w:b/>
                      <w:bCs w:val="0"/>
                    </w:rPr>
                    <w:t>设备名称</w:t>
                  </w:r>
                </w:p>
              </w:tc>
              <w:tc>
                <w:tcPr>
                  <w:tcW w:w="3714" w:type="dxa"/>
                  <w:gridSpan w:val="2"/>
                  <w:vAlign w:val="center"/>
                </w:tcPr>
                <w:p w14:paraId="6F6481FE">
                  <w:pPr>
                    <w:pStyle w:val="86"/>
                    <w:rPr>
                      <w:b/>
                      <w:bCs w:val="0"/>
                    </w:rPr>
                  </w:pPr>
                  <w:r>
                    <w:rPr>
                      <w:rFonts w:hint="eastAsia"/>
                      <w:b/>
                      <w:bCs w:val="0"/>
                    </w:rPr>
                    <w:t>设施参数</w:t>
                  </w:r>
                </w:p>
              </w:tc>
              <w:tc>
                <w:tcPr>
                  <w:tcW w:w="1531" w:type="dxa"/>
                  <w:vAlign w:val="center"/>
                </w:tcPr>
                <w:p w14:paraId="7DDBD1C0">
                  <w:pPr>
                    <w:pStyle w:val="86"/>
                    <w:rPr>
                      <w:b/>
                      <w:bCs w:val="0"/>
                    </w:rPr>
                  </w:pPr>
                  <w:r>
                    <w:rPr>
                      <w:b/>
                      <w:bCs w:val="0"/>
                    </w:rPr>
                    <w:t>数量</w:t>
                  </w:r>
                </w:p>
              </w:tc>
              <w:tc>
                <w:tcPr>
                  <w:tcW w:w="1500" w:type="dxa"/>
                  <w:vAlign w:val="center"/>
                </w:tcPr>
                <w:p w14:paraId="750AA2EA">
                  <w:pPr>
                    <w:pStyle w:val="86"/>
                    <w:rPr>
                      <w:b/>
                      <w:bCs w:val="0"/>
                    </w:rPr>
                  </w:pPr>
                  <w:r>
                    <w:rPr>
                      <w:rFonts w:hint="eastAsia"/>
                      <w:b/>
                      <w:bCs w:val="0"/>
                    </w:rPr>
                    <w:t>备注</w:t>
                  </w:r>
                </w:p>
              </w:tc>
            </w:tr>
            <w:tr w14:paraId="39A6F0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470D9BEC">
                  <w:pPr>
                    <w:pStyle w:val="86"/>
                  </w:pPr>
                  <w:r>
                    <w:t>1</w:t>
                  </w:r>
                </w:p>
              </w:tc>
              <w:tc>
                <w:tcPr>
                  <w:tcW w:w="2066" w:type="dxa"/>
                  <w:vAlign w:val="center"/>
                </w:tcPr>
                <w:p w14:paraId="70239927">
                  <w:pPr>
                    <w:pStyle w:val="86"/>
                  </w:pPr>
                  <w:r>
                    <w:rPr>
                      <w:rFonts w:hint="eastAsia"/>
                    </w:rPr>
                    <w:t>喂料机</w:t>
                  </w:r>
                </w:p>
              </w:tc>
              <w:tc>
                <w:tcPr>
                  <w:tcW w:w="1985" w:type="dxa"/>
                  <w:vAlign w:val="center"/>
                </w:tcPr>
                <w:p w14:paraId="20B76701">
                  <w:pPr>
                    <w:pStyle w:val="86"/>
                  </w:pPr>
                  <w:r>
                    <w:rPr>
                      <w:rFonts w:hint="eastAsia"/>
                    </w:rPr>
                    <w:t>处理能力</w:t>
                  </w:r>
                </w:p>
              </w:tc>
              <w:tc>
                <w:tcPr>
                  <w:tcW w:w="1729" w:type="dxa"/>
                  <w:vAlign w:val="center"/>
                </w:tcPr>
                <w:p w14:paraId="36F75254">
                  <w:pPr>
                    <w:pStyle w:val="86"/>
                  </w:pPr>
                  <w:r>
                    <w:t>0.</w:t>
                  </w:r>
                  <w:r>
                    <w:rPr>
                      <w:rFonts w:hint="eastAsia"/>
                    </w:rPr>
                    <w:t>8t/h</w:t>
                  </w:r>
                </w:p>
              </w:tc>
              <w:tc>
                <w:tcPr>
                  <w:tcW w:w="1531" w:type="dxa"/>
                  <w:vAlign w:val="center"/>
                </w:tcPr>
                <w:p w14:paraId="491E2680">
                  <w:pPr>
                    <w:pStyle w:val="86"/>
                  </w:pPr>
                  <w:r>
                    <w:t>2</w:t>
                  </w:r>
                  <w:r>
                    <w:rPr>
                      <w:rFonts w:hint="eastAsia"/>
                    </w:rPr>
                    <w:t>台</w:t>
                  </w:r>
                </w:p>
              </w:tc>
              <w:tc>
                <w:tcPr>
                  <w:tcW w:w="1500" w:type="dxa"/>
                  <w:vAlign w:val="center"/>
                </w:tcPr>
                <w:p w14:paraId="24B7C901">
                  <w:pPr>
                    <w:pStyle w:val="86"/>
                  </w:pPr>
                  <w:r>
                    <w:rPr>
                      <w:rFonts w:hint="eastAsia"/>
                    </w:rPr>
                    <w:t>破碎工序，拟新增</w:t>
                  </w:r>
                </w:p>
              </w:tc>
            </w:tr>
            <w:tr w14:paraId="3C1384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3A8B8DCC">
                  <w:pPr>
                    <w:pStyle w:val="86"/>
                  </w:pPr>
                  <w:r>
                    <w:t>2</w:t>
                  </w:r>
                </w:p>
              </w:tc>
              <w:tc>
                <w:tcPr>
                  <w:tcW w:w="2066" w:type="dxa"/>
                  <w:vAlign w:val="center"/>
                </w:tcPr>
                <w:p w14:paraId="16CB98BD">
                  <w:pPr>
                    <w:pStyle w:val="86"/>
                  </w:pPr>
                  <w:r>
                    <w:rPr>
                      <w:rFonts w:hint="eastAsia"/>
                    </w:rPr>
                    <w:t>破碎机</w:t>
                  </w:r>
                </w:p>
              </w:tc>
              <w:tc>
                <w:tcPr>
                  <w:tcW w:w="1985" w:type="dxa"/>
                  <w:vAlign w:val="center"/>
                </w:tcPr>
                <w:p w14:paraId="1BAF4508">
                  <w:pPr>
                    <w:pStyle w:val="86"/>
                  </w:pPr>
                  <w:r>
                    <w:rPr>
                      <w:rFonts w:hint="eastAsia"/>
                    </w:rPr>
                    <w:t>处理能力</w:t>
                  </w:r>
                </w:p>
              </w:tc>
              <w:tc>
                <w:tcPr>
                  <w:tcW w:w="1729" w:type="dxa"/>
                  <w:vAlign w:val="center"/>
                </w:tcPr>
                <w:p w14:paraId="2DF80A7D">
                  <w:pPr>
                    <w:pStyle w:val="86"/>
                  </w:pPr>
                  <w:r>
                    <w:t>0.</w:t>
                  </w:r>
                  <w:r>
                    <w:rPr>
                      <w:rFonts w:hint="eastAsia"/>
                    </w:rPr>
                    <w:t>8t/h</w:t>
                  </w:r>
                </w:p>
              </w:tc>
              <w:tc>
                <w:tcPr>
                  <w:tcW w:w="1531" w:type="dxa"/>
                  <w:vAlign w:val="center"/>
                </w:tcPr>
                <w:p w14:paraId="1FB73B4C">
                  <w:pPr>
                    <w:pStyle w:val="86"/>
                  </w:pPr>
                  <w:r>
                    <w:t>2</w:t>
                  </w:r>
                  <w:r>
                    <w:rPr>
                      <w:rFonts w:hint="eastAsia"/>
                    </w:rPr>
                    <w:t>台</w:t>
                  </w:r>
                </w:p>
              </w:tc>
              <w:tc>
                <w:tcPr>
                  <w:tcW w:w="1500" w:type="dxa"/>
                  <w:vAlign w:val="center"/>
                </w:tcPr>
                <w:p w14:paraId="536A9CF0">
                  <w:pPr>
                    <w:pStyle w:val="86"/>
                  </w:pPr>
                  <w:r>
                    <w:rPr>
                      <w:rFonts w:hint="eastAsia"/>
                    </w:rPr>
                    <w:t>现有</w:t>
                  </w:r>
                </w:p>
              </w:tc>
            </w:tr>
            <w:tr w14:paraId="137F70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53C43ACC">
                  <w:pPr>
                    <w:pStyle w:val="86"/>
                  </w:pPr>
                  <w:r>
                    <w:rPr>
                      <w:rFonts w:hint="eastAsia"/>
                    </w:rPr>
                    <w:t>3</w:t>
                  </w:r>
                </w:p>
              </w:tc>
              <w:tc>
                <w:tcPr>
                  <w:tcW w:w="2066" w:type="dxa"/>
                  <w:vAlign w:val="center"/>
                </w:tcPr>
                <w:p w14:paraId="2A1097E0">
                  <w:pPr>
                    <w:pStyle w:val="86"/>
                  </w:pPr>
                  <w:r>
                    <w:rPr>
                      <w:rFonts w:hint="eastAsia"/>
                    </w:rPr>
                    <w:t>喂料机</w:t>
                  </w:r>
                </w:p>
              </w:tc>
              <w:tc>
                <w:tcPr>
                  <w:tcW w:w="1985" w:type="dxa"/>
                  <w:vAlign w:val="center"/>
                </w:tcPr>
                <w:p w14:paraId="599F3834">
                  <w:pPr>
                    <w:pStyle w:val="86"/>
                  </w:pPr>
                  <w:r>
                    <w:rPr>
                      <w:rFonts w:hint="eastAsia"/>
                    </w:rPr>
                    <w:t>处理能力</w:t>
                  </w:r>
                </w:p>
              </w:tc>
              <w:tc>
                <w:tcPr>
                  <w:tcW w:w="1729" w:type="dxa"/>
                  <w:vAlign w:val="center"/>
                </w:tcPr>
                <w:p w14:paraId="4C3BF5D6">
                  <w:pPr>
                    <w:pStyle w:val="86"/>
                  </w:pPr>
                  <w:r>
                    <w:t>0.</w:t>
                  </w:r>
                  <w:r>
                    <w:rPr>
                      <w:rFonts w:hint="eastAsia"/>
                    </w:rPr>
                    <w:t>9t/h</w:t>
                  </w:r>
                </w:p>
              </w:tc>
              <w:tc>
                <w:tcPr>
                  <w:tcW w:w="1531" w:type="dxa"/>
                  <w:vAlign w:val="center"/>
                </w:tcPr>
                <w:p w14:paraId="3352EF81">
                  <w:pPr>
                    <w:pStyle w:val="86"/>
                  </w:pPr>
                  <w:r>
                    <w:t>2</w:t>
                  </w:r>
                  <w:r>
                    <w:rPr>
                      <w:rFonts w:hint="eastAsia"/>
                    </w:rPr>
                    <w:t>台</w:t>
                  </w:r>
                </w:p>
              </w:tc>
              <w:tc>
                <w:tcPr>
                  <w:tcW w:w="1500" w:type="dxa"/>
                  <w:vAlign w:val="center"/>
                </w:tcPr>
                <w:p w14:paraId="0FBAFCC3">
                  <w:pPr>
                    <w:pStyle w:val="86"/>
                  </w:pPr>
                  <w:r>
                    <w:rPr>
                      <w:rFonts w:hint="eastAsia"/>
                    </w:rPr>
                    <w:t>清洗工序，现有</w:t>
                  </w:r>
                </w:p>
              </w:tc>
            </w:tr>
            <w:tr w14:paraId="37BA57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1B0F7A6C">
                  <w:pPr>
                    <w:pStyle w:val="86"/>
                  </w:pPr>
                  <w:r>
                    <w:rPr>
                      <w:rFonts w:hint="eastAsia"/>
                    </w:rPr>
                    <w:t>4</w:t>
                  </w:r>
                </w:p>
              </w:tc>
              <w:tc>
                <w:tcPr>
                  <w:tcW w:w="2066" w:type="dxa"/>
                  <w:vAlign w:val="center"/>
                </w:tcPr>
                <w:p w14:paraId="3BD836BC">
                  <w:pPr>
                    <w:pStyle w:val="86"/>
                  </w:pPr>
                  <w:r>
                    <w:rPr>
                      <w:rFonts w:hint="eastAsia"/>
                    </w:rPr>
                    <w:t>清洗机</w:t>
                  </w:r>
                </w:p>
              </w:tc>
              <w:tc>
                <w:tcPr>
                  <w:tcW w:w="1985" w:type="dxa"/>
                  <w:vAlign w:val="center"/>
                </w:tcPr>
                <w:p w14:paraId="70B8984B">
                  <w:pPr>
                    <w:pStyle w:val="86"/>
                  </w:pPr>
                  <w:r>
                    <w:rPr>
                      <w:rFonts w:hint="eastAsia"/>
                    </w:rPr>
                    <w:t>清洗能力</w:t>
                  </w:r>
                </w:p>
              </w:tc>
              <w:tc>
                <w:tcPr>
                  <w:tcW w:w="1729" w:type="dxa"/>
                  <w:vAlign w:val="center"/>
                </w:tcPr>
                <w:p w14:paraId="74B778D1">
                  <w:pPr>
                    <w:pStyle w:val="86"/>
                  </w:pPr>
                  <w:r>
                    <w:t>0.</w:t>
                  </w:r>
                  <w:r>
                    <w:rPr>
                      <w:rFonts w:hint="eastAsia"/>
                    </w:rPr>
                    <w:t>9t/h</w:t>
                  </w:r>
                </w:p>
              </w:tc>
              <w:tc>
                <w:tcPr>
                  <w:tcW w:w="1531" w:type="dxa"/>
                  <w:vAlign w:val="center"/>
                </w:tcPr>
                <w:p w14:paraId="3DA2E8A1">
                  <w:pPr>
                    <w:pStyle w:val="86"/>
                  </w:pPr>
                  <w:r>
                    <w:t>2</w:t>
                  </w:r>
                  <w:r>
                    <w:rPr>
                      <w:rFonts w:hint="eastAsia"/>
                    </w:rPr>
                    <w:t>台</w:t>
                  </w:r>
                </w:p>
              </w:tc>
              <w:tc>
                <w:tcPr>
                  <w:tcW w:w="1500" w:type="dxa"/>
                  <w:vAlign w:val="center"/>
                </w:tcPr>
                <w:p w14:paraId="2DC34853">
                  <w:pPr>
                    <w:pStyle w:val="86"/>
                  </w:pPr>
                  <w:r>
                    <w:rPr>
                      <w:rFonts w:hint="eastAsia"/>
                    </w:rPr>
                    <w:t>现有</w:t>
                  </w:r>
                </w:p>
              </w:tc>
            </w:tr>
            <w:tr w14:paraId="30D4C3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02C8BC16">
                  <w:pPr>
                    <w:pStyle w:val="86"/>
                  </w:pPr>
                  <w:r>
                    <w:rPr>
                      <w:rFonts w:hint="eastAsia"/>
                    </w:rPr>
                    <w:t>5</w:t>
                  </w:r>
                </w:p>
              </w:tc>
              <w:tc>
                <w:tcPr>
                  <w:tcW w:w="2066" w:type="dxa"/>
                  <w:vAlign w:val="center"/>
                </w:tcPr>
                <w:p w14:paraId="69E43776">
                  <w:pPr>
                    <w:pStyle w:val="86"/>
                  </w:pPr>
                  <w:r>
                    <w:rPr>
                      <w:rFonts w:hint="eastAsia"/>
                    </w:rPr>
                    <w:t>甩干机</w:t>
                  </w:r>
                </w:p>
              </w:tc>
              <w:tc>
                <w:tcPr>
                  <w:tcW w:w="1985" w:type="dxa"/>
                  <w:vAlign w:val="center"/>
                </w:tcPr>
                <w:p w14:paraId="73308ECC">
                  <w:pPr>
                    <w:pStyle w:val="86"/>
                  </w:pPr>
                  <w:r>
                    <w:rPr>
                      <w:rFonts w:hint="eastAsia"/>
                    </w:rPr>
                    <w:t>处理能力</w:t>
                  </w:r>
                </w:p>
              </w:tc>
              <w:tc>
                <w:tcPr>
                  <w:tcW w:w="1729" w:type="dxa"/>
                  <w:vAlign w:val="center"/>
                </w:tcPr>
                <w:p w14:paraId="28E30C4A">
                  <w:pPr>
                    <w:pStyle w:val="86"/>
                  </w:pPr>
                  <w:r>
                    <w:t>0.</w:t>
                  </w:r>
                  <w:r>
                    <w:rPr>
                      <w:rFonts w:hint="eastAsia"/>
                    </w:rPr>
                    <w:t>9t/h</w:t>
                  </w:r>
                </w:p>
              </w:tc>
              <w:tc>
                <w:tcPr>
                  <w:tcW w:w="1531" w:type="dxa"/>
                  <w:vAlign w:val="center"/>
                </w:tcPr>
                <w:p w14:paraId="295B472E">
                  <w:pPr>
                    <w:pStyle w:val="86"/>
                  </w:pPr>
                  <w:r>
                    <w:t>2</w:t>
                  </w:r>
                  <w:r>
                    <w:rPr>
                      <w:rFonts w:hint="eastAsia"/>
                    </w:rPr>
                    <w:t>台</w:t>
                  </w:r>
                </w:p>
              </w:tc>
              <w:tc>
                <w:tcPr>
                  <w:tcW w:w="1500" w:type="dxa"/>
                  <w:vAlign w:val="center"/>
                </w:tcPr>
                <w:p w14:paraId="2DC67073">
                  <w:pPr>
                    <w:pStyle w:val="86"/>
                  </w:pPr>
                  <w:r>
                    <w:rPr>
                      <w:rFonts w:hint="eastAsia"/>
                    </w:rPr>
                    <w:t>现有</w:t>
                  </w:r>
                </w:p>
              </w:tc>
            </w:tr>
            <w:tr w14:paraId="2E20A8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6D521435">
                  <w:pPr>
                    <w:pStyle w:val="86"/>
                  </w:pPr>
                  <w:r>
                    <w:rPr>
                      <w:rFonts w:hint="eastAsia"/>
                    </w:rPr>
                    <w:t>6</w:t>
                  </w:r>
                </w:p>
              </w:tc>
              <w:tc>
                <w:tcPr>
                  <w:tcW w:w="2066" w:type="dxa"/>
                  <w:vAlign w:val="center"/>
                </w:tcPr>
                <w:p w14:paraId="00DE1F6E">
                  <w:pPr>
                    <w:pStyle w:val="86"/>
                  </w:pPr>
                  <w:r>
                    <w:rPr>
                      <w:rFonts w:hint="eastAsia"/>
                    </w:rPr>
                    <w:t>造粒主机</w:t>
                  </w:r>
                </w:p>
              </w:tc>
              <w:tc>
                <w:tcPr>
                  <w:tcW w:w="1985" w:type="dxa"/>
                  <w:vAlign w:val="center"/>
                </w:tcPr>
                <w:p w14:paraId="64688145">
                  <w:pPr>
                    <w:pStyle w:val="86"/>
                  </w:pPr>
                  <w:r>
                    <w:rPr>
                      <w:rFonts w:hint="eastAsia"/>
                    </w:rPr>
                    <w:t>挤出能力</w:t>
                  </w:r>
                </w:p>
              </w:tc>
              <w:tc>
                <w:tcPr>
                  <w:tcW w:w="1729" w:type="dxa"/>
                  <w:vAlign w:val="center"/>
                </w:tcPr>
                <w:p w14:paraId="18342AC2">
                  <w:pPr>
                    <w:pStyle w:val="86"/>
                  </w:pPr>
                  <w:r>
                    <w:t>0.</w:t>
                  </w:r>
                  <w:r>
                    <w:rPr>
                      <w:rFonts w:hint="eastAsia"/>
                    </w:rPr>
                    <w:t>4t/h</w:t>
                  </w:r>
                </w:p>
              </w:tc>
              <w:tc>
                <w:tcPr>
                  <w:tcW w:w="1531" w:type="dxa"/>
                  <w:vAlign w:val="center"/>
                </w:tcPr>
                <w:p w14:paraId="245908A1">
                  <w:pPr>
                    <w:pStyle w:val="86"/>
                  </w:pPr>
                  <w:r>
                    <w:rPr>
                      <w:rFonts w:hint="eastAsia"/>
                    </w:rPr>
                    <w:t>4台</w:t>
                  </w:r>
                </w:p>
              </w:tc>
              <w:tc>
                <w:tcPr>
                  <w:tcW w:w="1500" w:type="dxa"/>
                  <w:vAlign w:val="center"/>
                </w:tcPr>
                <w:p w14:paraId="06ACCC27">
                  <w:pPr>
                    <w:pStyle w:val="86"/>
                  </w:pPr>
                  <w:r>
                    <w:rPr>
                      <w:rFonts w:hint="eastAsia"/>
                    </w:rPr>
                    <w:t>现有</w:t>
                  </w:r>
                </w:p>
              </w:tc>
            </w:tr>
            <w:tr w14:paraId="2F8926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35EBD531">
                  <w:pPr>
                    <w:pStyle w:val="86"/>
                  </w:pPr>
                  <w:r>
                    <w:rPr>
                      <w:rFonts w:hint="eastAsia"/>
                    </w:rPr>
                    <w:t>7</w:t>
                  </w:r>
                </w:p>
              </w:tc>
              <w:tc>
                <w:tcPr>
                  <w:tcW w:w="2066" w:type="dxa"/>
                  <w:vAlign w:val="center"/>
                </w:tcPr>
                <w:p w14:paraId="335E8B39">
                  <w:pPr>
                    <w:pStyle w:val="86"/>
                  </w:pPr>
                  <w:r>
                    <w:rPr>
                      <w:rFonts w:hint="eastAsia"/>
                    </w:rPr>
                    <w:t>造粒副机</w:t>
                  </w:r>
                </w:p>
              </w:tc>
              <w:tc>
                <w:tcPr>
                  <w:tcW w:w="1985" w:type="dxa"/>
                  <w:vAlign w:val="center"/>
                </w:tcPr>
                <w:p w14:paraId="4D0FDC0E">
                  <w:pPr>
                    <w:pStyle w:val="86"/>
                  </w:pPr>
                  <w:r>
                    <w:rPr>
                      <w:rFonts w:hint="eastAsia"/>
                    </w:rPr>
                    <w:t>挤出能力</w:t>
                  </w:r>
                </w:p>
              </w:tc>
              <w:tc>
                <w:tcPr>
                  <w:tcW w:w="1729" w:type="dxa"/>
                  <w:vAlign w:val="center"/>
                </w:tcPr>
                <w:p w14:paraId="7479D076">
                  <w:pPr>
                    <w:pStyle w:val="86"/>
                  </w:pPr>
                  <w:r>
                    <w:t>0.</w:t>
                  </w:r>
                  <w:r>
                    <w:rPr>
                      <w:rFonts w:hint="eastAsia"/>
                    </w:rPr>
                    <w:t>4t/h</w:t>
                  </w:r>
                </w:p>
              </w:tc>
              <w:tc>
                <w:tcPr>
                  <w:tcW w:w="1531" w:type="dxa"/>
                  <w:vAlign w:val="center"/>
                </w:tcPr>
                <w:p w14:paraId="003F34BC">
                  <w:pPr>
                    <w:pStyle w:val="86"/>
                  </w:pPr>
                  <w:r>
                    <w:rPr>
                      <w:rFonts w:hint="eastAsia"/>
                    </w:rPr>
                    <w:t>4台</w:t>
                  </w:r>
                </w:p>
              </w:tc>
              <w:tc>
                <w:tcPr>
                  <w:tcW w:w="1500" w:type="dxa"/>
                  <w:vAlign w:val="center"/>
                </w:tcPr>
                <w:p w14:paraId="13D6B923">
                  <w:pPr>
                    <w:pStyle w:val="86"/>
                  </w:pPr>
                  <w:r>
                    <w:rPr>
                      <w:rFonts w:hint="eastAsia"/>
                    </w:rPr>
                    <w:t>现有，电圈加热，拟拆除</w:t>
                  </w:r>
                </w:p>
              </w:tc>
            </w:tr>
            <w:tr w14:paraId="267DFB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3BA8C33B">
                  <w:pPr>
                    <w:pStyle w:val="86"/>
                  </w:pPr>
                  <w:r>
                    <w:rPr>
                      <w:rFonts w:hint="eastAsia"/>
                    </w:rPr>
                    <w:t>8</w:t>
                  </w:r>
                </w:p>
              </w:tc>
              <w:tc>
                <w:tcPr>
                  <w:tcW w:w="2066" w:type="dxa"/>
                  <w:vAlign w:val="center"/>
                </w:tcPr>
                <w:p w14:paraId="545670E5">
                  <w:pPr>
                    <w:pStyle w:val="86"/>
                  </w:pPr>
                  <w:r>
                    <w:rPr>
                      <w:rFonts w:hint="eastAsia"/>
                    </w:rPr>
                    <w:t>造粒副机</w:t>
                  </w:r>
                </w:p>
              </w:tc>
              <w:tc>
                <w:tcPr>
                  <w:tcW w:w="1985" w:type="dxa"/>
                  <w:vAlign w:val="center"/>
                </w:tcPr>
                <w:p w14:paraId="1335DF74">
                  <w:pPr>
                    <w:pStyle w:val="86"/>
                  </w:pPr>
                  <w:r>
                    <w:rPr>
                      <w:rFonts w:hint="eastAsia"/>
                    </w:rPr>
                    <w:t>挤出能力</w:t>
                  </w:r>
                </w:p>
              </w:tc>
              <w:tc>
                <w:tcPr>
                  <w:tcW w:w="1729" w:type="dxa"/>
                  <w:vAlign w:val="center"/>
                </w:tcPr>
                <w:p w14:paraId="14CA2BF3">
                  <w:pPr>
                    <w:pStyle w:val="86"/>
                  </w:pPr>
                  <w:r>
                    <w:t>0.</w:t>
                  </w:r>
                  <w:r>
                    <w:rPr>
                      <w:rFonts w:hint="eastAsia"/>
                    </w:rPr>
                    <w:t>4t/h</w:t>
                  </w:r>
                </w:p>
              </w:tc>
              <w:tc>
                <w:tcPr>
                  <w:tcW w:w="1531" w:type="dxa"/>
                  <w:vAlign w:val="center"/>
                </w:tcPr>
                <w:p w14:paraId="2B04D5B5">
                  <w:pPr>
                    <w:pStyle w:val="86"/>
                  </w:pPr>
                  <w:r>
                    <w:rPr>
                      <w:rFonts w:hint="eastAsia"/>
                    </w:rPr>
                    <w:t>4台</w:t>
                  </w:r>
                </w:p>
              </w:tc>
              <w:tc>
                <w:tcPr>
                  <w:tcW w:w="1500" w:type="dxa"/>
                  <w:vAlign w:val="center"/>
                </w:tcPr>
                <w:p w14:paraId="73873EB7">
                  <w:pPr>
                    <w:pStyle w:val="86"/>
                  </w:pPr>
                  <w:r>
                    <w:rPr>
                      <w:rFonts w:hint="eastAsia"/>
                    </w:rPr>
                    <w:t>拟新增，电磁加热</w:t>
                  </w:r>
                </w:p>
              </w:tc>
            </w:tr>
            <w:tr w14:paraId="42565D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4A13070A">
                  <w:pPr>
                    <w:pStyle w:val="86"/>
                  </w:pPr>
                  <w:r>
                    <w:rPr>
                      <w:rFonts w:hint="eastAsia"/>
                    </w:rPr>
                    <w:t>9</w:t>
                  </w:r>
                </w:p>
              </w:tc>
              <w:tc>
                <w:tcPr>
                  <w:tcW w:w="2066" w:type="dxa"/>
                  <w:vAlign w:val="center"/>
                </w:tcPr>
                <w:p w14:paraId="5701F4E1">
                  <w:pPr>
                    <w:pStyle w:val="86"/>
                  </w:pPr>
                  <w:r>
                    <w:rPr>
                      <w:rFonts w:hint="eastAsia"/>
                    </w:rPr>
                    <w:t>切粒机</w:t>
                  </w:r>
                </w:p>
              </w:tc>
              <w:tc>
                <w:tcPr>
                  <w:tcW w:w="1985" w:type="dxa"/>
                  <w:vAlign w:val="center"/>
                </w:tcPr>
                <w:p w14:paraId="011C4B50">
                  <w:pPr>
                    <w:pStyle w:val="86"/>
                  </w:pPr>
                  <w:r>
                    <w:rPr>
                      <w:rFonts w:hint="eastAsia"/>
                    </w:rPr>
                    <w:t>处理能力</w:t>
                  </w:r>
                </w:p>
              </w:tc>
              <w:tc>
                <w:tcPr>
                  <w:tcW w:w="1729" w:type="dxa"/>
                  <w:vAlign w:val="center"/>
                </w:tcPr>
                <w:p w14:paraId="3581DAEF">
                  <w:pPr>
                    <w:pStyle w:val="86"/>
                  </w:pPr>
                  <w:r>
                    <w:t>0.</w:t>
                  </w:r>
                  <w:r>
                    <w:rPr>
                      <w:rFonts w:hint="eastAsia"/>
                    </w:rPr>
                    <w:t>45t/h</w:t>
                  </w:r>
                </w:p>
              </w:tc>
              <w:tc>
                <w:tcPr>
                  <w:tcW w:w="1531" w:type="dxa"/>
                  <w:vAlign w:val="center"/>
                </w:tcPr>
                <w:p w14:paraId="51B8D65F">
                  <w:pPr>
                    <w:pStyle w:val="86"/>
                  </w:pPr>
                  <w:r>
                    <w:rPr>
                      <w:rFonts w:hint="eastAsia"/>
                    </w:rPr>
                    <w:t>4台</w:t>
                  </w:r>
                </w:p>
              </w:tc>
              <w:tc>
                <w:tcPr>
                  <w:tcW w:w="1500" w:type="dxa"/>
                  <w:vAlign w:val="center"/>
                </w:tcPr>
                <w:p w14:paraId="3B04CDC2">
                  <w:pPr>
                    <w:pStyle w:val="86"/>
                  </w:pPr>
                  <w:r>
                    <w:rPr>
                      <w:rFonts w:hint="eastAsia"/>
                    </w:rPr>
                    <w:t>现有</w:t>
                  </w:r>
                </w:p>
              </w:tc>
            </w:tr>
            <w:tr w14:paraId="789B42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0657532A">
                  <w:pPr>
                    <w:pStyle w:val="86"/>
                  </w:pPr>
                  <w:r>
                    <w:rPr>
                      <w:rFonts w:hint="eastAsia"/>
                    </w:rPr>
                    <w:t>1</w:t>
                  </w:r>
                  <w:r>
                    <w:t>0</w:t>
                  </w:r>
                </w:p>
              </w:tc>
              <w:tc>
                <w:tcPr>
                  <w:tcW w:w="2066" w:type="dxa"/>
                  <w:vAlign w:val="center"/>
                </w:tcPr>
                <w:p w14:paraId="5F1E1F83">
                  <w:pPr>
                    <w:pStyle w:val="86"/>
                  </w:pPr>
                  <w:r>
                    <w:rPr>
                      <w:rFonts w:hint="eastAsia"/>
                    </w:rPr>
                    <w:t>冷却水槽</w:t>
                  </w:r>
                </w:p>
              </w:tc>
              <w:tc>
                <w:tcPr>
                  <w:tcW w:w="1985" w:type="dxa"/>
                  <w:vAlign w:val="center"/>
                </w:tcPr>
                <w:p w14:paraId="21ABD9B4">
                  <w:pPr>
                    <w:pStyle w:val="86"/>
                  </w:pPr>
                  <w:r>
                    <w:rPr>
                      <w:rFonts w:hint="eastAsia"/>
                    </w:rPr>
                    <w:t>处理能力</w:t>
                  </w:r>
                </w:p>
              </w:tc>
              <w:tc>
                <w:tcPr>
                  <w:tcW w:w="1729" w:type="dxa"/>
                  <w:vAlign w:val="center"/>
                </w:tcPr>
                <w:p w14:paraId="58CBA48F">
                  <w:pPr>
                    <w:pStyle w:val="86"/>
                  </w:pPr>
                  <w:r>
                    <w:t>0.</w:t>
                  </w:r>
                  <w:r>
                    <w:rPr>
                      <w:rFonts w:hint="eastAsia"/>
                    </w:rPr>
                    <w:t>45t/h</w:t>
                  </w:r>
                </w:p>
              </w:tc>
              <w:tc>
                <w:tcPr>
                  <w:tcW w:w="1531" w:type="dxa"/>
                  <w:vAlign w:val="center"/>
                </w:tcPr>
                <w:p w14:paraId="1774D772">
                  <w:pPr>
                    <w:pStyle w:val="86"/>
                  </w:pPr>
                  <w:r>
                    <w:rPr>
                      <w:rFonts w:hint="eastAsia"/>
                    </w:rPr>
                    <w:t>4台</w:t>
                  </w:r>
                </w:p>
              </w:tc>
              <w:tc>
                <w:tcPr>
                  <w:tcW w:w="1500" w:type="dxa"/>
                  <w:vAlign w:val="center"/>
                </w:tcPr>
                <w:p w14:paraId="7879ED8D">
                  <w:pPr>
                    <w:pStyle w:val="86"/>
                  </w:pPr>
                  <w:r>
                    <w:rPr>
                      <w:rFonts w:hint="eastAsia"/>
                    </w:rPr>
                    <w:t>现有</w:t>
                  </w:r>
                </w:p>
              </w:tc>
            </w:tr>
            <w:tr w14:paraId="722B1D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775F2ADB">
                  <w:pPr>
                    <w:pStyle w:val="86"/>
                  </w:pPr>
                  <w:r>
                    <w:rPr>
                      <w:rFonts w:hint="eastAsia"/>
                    </w:rPr>
                    <w:t>1</w:t>
                  </w:r>
                  <w:r>
                    <w:t>1</w:t>
                  </w:r>
                </w:p>
              </w:tc>
              <w:tc>
                <w:tcPr>
                  <w:tcW w:w="2066" w:type="dxa"/>
                  <w:vAlign w:val="center"/>
                </w:tcPr>
                <w:p w14:paraId="18FC1929">
                  <w:pPr>
                    <w:pStyle w:val="86"/>
                  </w:pPr>
                  <w:r>
                    <w:rPr>
                      <w:rFonts w:hint="eastAsia"/>
                    </w:rPr>
                    <w:t>储料仓</w:t>
                  </w:r>
                </w:p>
              </w:tc>
              <w:tc>
                <w:tcPr>
                  <w:tcW w:w="1985" w:type="dxa"/>
                  <w:vAlign w:val="center"/>
                </w:tcPr>
                <w:p w14:paraId="1A5DE847">
                  <w:pPr>
                    <w:pStyle w:val="86"/>
                  </w:pPr>
                  <w:r>
                    <w:rPr>
                      <w:rFonts w:hint="eastAsia"/>
                    </w:rPr>
                    <w:t>储存能力</w:t>
                  </w:r>
                </w:p>
              </w:tc>
              <w:tc>
                <w:tcPr>
                  <w:tcW w:w="1729" w:type="dxa"/>
                  <w:vAlign w:val="center"/>
                </w:tcPr>
                <w:p w14:paraId="1FA4AFFB">
                  <w:pPr>
                    <w:pStyle w:val="86"/>
                  </w:pPr>
                  <w:r>
                    <w:rPr>
                      <w:rFonts w:hint="eastAsia"/>
                    </w:rPr>
                    <w:t>4.2t</w:t>
                  </w:r>
                </w:p>
              </w:tc>
              <w:tc>
                <w:tcPr>
                  <w:tcW w:w="1531" w:type="dxa"/>
                  <w:vAlign w:val="center"/>
                </w:tcPr>
                <w:p w14:paraId="0BFFEEE7">
                  <w:pPr>
                    <w:pStyle w:val="86"/>
                  </w:pPr>
                  <w:r>
                    <w:rPr>
                      <w:rFonts w:hint="eastAsia"/>
                    </w:rPr>
                    <w:t>1台</w:t>
                  </w:r>
                </w:p>
              </w:tc>
              <w:tc>
                <w:tcPr>
                  <w:tcW w:w="1500" w:type="dxa"/>
                  <w:vAlign w:val="center"/>
                </w:tcPr>
                <w:p w14:paraId="747CC8AA">
                  <w:pPr>
                    <w:pStyle w:val="86"/>
                  </w:pPr>
                  <w:r>
                    <w:rPr>
                      <w:rFonts w:hint="eastAsia"/>
                    </w:rPr>
                    <w:t>现有</w:t>
                  </w:r>
                </w:p>
              </w:tc>
            </w:tr>
            <w:tr w14:paraId="6E257F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7B0AB463">
                  <w:pPr>
                    <w:pStyle w:val="86"/>
                  </w:pPr>
                  <w:r>
                    <w:rPr>
                      <w:rFonts w:hint="eastAsia"/>
                    </w:rPr>
                    <w:t>12</w:t>
                  </w:r>
                </w:p>
              </w:tc>
              <w:tc>
                <w:tcPr>
                  <w:tcW w:w="2066" w:type="dxa"/>
                  <w:vAlign w:val="center"/>
                </w:tcPr>
                <w:p w14:paraId="64B73BF7">
                  <w:pPr>
                    <w:pStyle w:val="86"/>
                  </w:pPr>
                  <w:r>
                    <w:rPr>
                      <w:rFonts w:hint="eastAsia"/>
                    </w:rPr>
                    <w:t>自动包装机</w:t>
                  </w:r>
                </w:p>
              </w:tc>
              <w:tc>
                <w:tcPr>
                  <w:tcW w:w="1985" w:type="dxa"/>
                  <w:vAlign w:val="center"/>
                </w:tcPr>
                <w:p w14:paraId="64845243">
                  <w:pPr>
                    <w:pStyle w:val="86"/>
                  </w:pPr>
                  <w:r>
                    <w:rPr>
                      <w:rFonts w:hint="eastAsia"/>
                    </w:rPr>
                    <w:t>包装能力</w:t>
                  </w:r>
                </w:p>
              </w:tc>
              <w:tc>
                <w:tcPr>
                  <w:tcW w:w="1729" w:type="dxa"/>
                  <w:vAlign w:val="center"/>
                </w:tcPr>
                <w:p w14:paraId="4354C4E2">
                  <w:pPr>
                    <w:pStyle w:val="86"/>
                  </w:pPr>
                  <w:r>
                    <w:rPr>
                      <w:rFonts w:hint="eastAsia"/>
                    </w:rPr>
                    <w:t>4.2t/h</w:t>
                  </w:r>
                </w:p>
              </w:tc>
              <w:tc>
                <w:tcPr>
                  <w:tcW w:w="1531" w:type="dxa"/>
                  <w:vAlign w:val="center"/>
                </w:tcPr>
                <w:p w14:paraId="2611E533">
                  <w:pPr>
                    <w:pStyle w:val="86"/>
                  </w:pPr>
                  <w:r>
                    <w:t>1</w:t>
                  </w:r>
                  <w:r>
                    <w:rPr>
                      <w:rFonts w:hint="eastAsia"/>
                    </w:rPr>
                    <w:t>台</w:t>
                  </w:r>
                </w:p>
              </w:tc>
              <w:tc>
                <w:tcPr>
                  <w:tcW w:w="1500" w:type="dxa"/>
                  <w:vAlign w:val="center"/>
                </w:tcPr>
                <w:p w14:paraId="179299DD">
                  <w:pPr>
                    <w:pStyle w:val="86"/>
                  </w:pPr>
                  <w:r>
                    <w:rPr>
                      <w:rFonts w:hint="eastAsia"/>
                    </w:rPr>
                    <w:t>现有</w:t>
                  </w:r>
                </w:p>
              </w:tc>
            </w:tr>
          </w:tbl>
          <w:p w14:paraId="55FFD84A">
            <w:pPr>
              <w:pStyle w:val="28"/>
              <w:ind w:firstLine="480"/>
            </w:pPr>
            <w:r>
              <w:t>本项目主要</w:t>
            </w:r>
            <w:r>
              <w:rPr>
                <w:rFonts w:hint="eastAsia"/>
              </w:rPr>
              <w:t>生产</w:t>
            </w:r>
            <w:r>
              <w:t>设备见下表</w:t>
            </w:r>
            <w:r>
              <w:rPr>
                <w:rFonts w:hint="eastAsia"/>
              </w:rPr>
              <w:t>：</w:t>
            </w:r>
          </w:p>
          <w:p w14:paraId="531982DF">
            <w:pPr>
              <w:pStyle w:val="67"/>
              <w:ind w:firstLine="480"/>
            </w:pPr>
            <w:r>
              <w:t xml:space="preserve">                  </w:t>
            </w:r>
            <w:r>
              <w:rPr>
                <w:rFonts w:hint="eastAsia"/>
              </w:rPr>
              <w:t>主要</w:t>
            </w:r>
            <w:r>
              <w:t>设备一览表</w:t>
            </w:r>
          </w:p>
          <w:tbl>
            <w:tblPr>
              <w:tblStyle w:val="21"/>
              <w:tblW w:w="497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111"/>
              <w:gridCol w:w="1610"/>
              <w:gridCol w:w="1391"/>
              <w:gridCol w:w="1543"/>
              <w:gridCol w:w="1144"/>
            </w:tblGrid>
            <w:tr w14:paraId="5781E9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14BE85BF">
                  <w:pPr>
                    <w:pStyle w:val="86"/>
                    <w:rPr>
                      <w:b/>
                      <w:bCs w:val="0"/>
                    </w:rPr>
                  </w:pPr>
                  <w:r>
                    <w:rPr>
                      <w:b/>
                      <w:bCs w:val="0"/>
                    </w:rPr>
                    <w:t>序号</w:t>
                  </w:r>
                </w:p>
              </w:tc>
              <w:tc>
                <w:tcPr>
                  <w:tcW w:w="2427" w:type="dxa"/>
                  <w:vAlign w:val="center"/>
                </w:tcPr>
                <w:p w14:paraId="6C1DB6F8">
                  <w:pPr>
                    <w:pStyle w:val="86"/>
                    <w:rPr>
                      <w:b/>
                      <w:bCs w:val="0"/>
                    </w:rPr>
                  </w:pPr>
                  <w:r>
                    <w:rPr>
                      <w:b/>
                      <w:bCs w:val="0"/>
                    </w:rPr>
                    <w:t>设备名称</w:t>
                  </w:r>
                </w:p>
              </w:tc>
              <w:tc>
                <w:tcPr>
                  <w:tcW w:w="3353" w:type="dxa"/>
                  <w:gridSpan w:val="2"/>
                  <w:vAlign w:val="center"/>
                </w:tcPr>
                <w:p w14:paraId="4B0125FB">
                  <w:pPr>
                    <w:pStyle w:val="86"/>
                    <w:rPr>
                      <w:b/>
                      <w:bCs w:val="0"/>
                    </w:rPr>
                  </w:pPr>
                  <w:r>
                    <w:rPr>
                      <w:rFonts w:hint="eastAsia"/>
                      <w:b/>
                      <w:bCs w:val="0"/>
                    </w:rPr>
                    <w:t>设施参数</w:t>
                  </w:r>
                </w:p>
              </w:tc>
              <w:tc>
                <w:tcPr>
                  <w:tcW w:w="1753" w:type="dxa"/>
                  <w:vAlign w:val="center"/>
                </w:tcPr>
                <w:p w14:paraId="061AD897">
                  <w:pPr>
                    <w:pStyle w:val="86"/>
                    <w:rPr>
                      <w:b/>
                      <w:bCs w:val="0"/>
                    </w:rPr>
                  </w:pPr>
                  <w:r>
                    <w:rPr>
                      <w:b/>
                      <w:bCs w:val="0"/>
                    </w:rPr>
                    <w:t>数量</w:t>
                  </w:r>
                </w:p>
              </w:tc>
              <w:tc>
                <w:tcPr>
                  <w:tcW w:w="1278" w:type="dxa"/>
                  <w:vAlign w:val="center"/>
                </w:tcPr>
                <w:p w14:paraId="4EF3DA7E">
                  <w:pPr>
                    <w:pStyle w:val="86"/>
                    <w:rPr>
                      <w:b/>
                      <w:bCs w:val="0"/>
                    </w:rPr>
                  </w:pPr>
                  <w:r>
                    <w:rPr>
                      <w:rFonts w:hint="eastAsia"/>
                      <w:b/>
                      <w:bCs w:val="0"/>
                    </w:rPr>
                    <w:t>备注</w:t>
                  </w:r>
                </w:p>
              </w:tc>
            </w:tr>
            <w:tr w14:paraId="540C69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6290855F">
                  <w:pPr>
                    <w:pStyle w:val="86"/>
                  </w:pPr>
                  <w:r>
                    <w:t>1</w:t>
                  </w:r>
                </w:p>
              </w:tc>
              <w:tc>
                <w:tcPr>
                  <w:tcW w:w="2427" w:type="dxa"/>
                  <w:vAlign w:val="center"/>
                </w:tcPr>
                <w:p w14:paraId="5D598A0B">
                  <w:pPr>
                    <w:pStyle w:val="86"/>
                  </w:pPr>
                  <w:r>
                    <w:rPr>
                      <w:rFonts w:hint="eastAsia"/>
                    </w:rPr>
                    <w:t>破碎机</w:t>
                  </w:r>
                </w:p>
              </w:tc>
              <w:tc>
                <w:tcPr>
                  <w:tcW w:w="1832" w:type="dxa"/>
                  <w:vAlign w:val="center"/>
                </w:tcPr>
                <w:p w14:paraId="29375B49">
                  <w:pPr>
                    <w:pStyle w:val="86"/>
                  </w:pPr>
                  <w:r>
                    <w:rPr>
                      <w:rFonts w:hint="eastAsia"/>
                    </w:rPr>
                    <w:t>处理能力</w:t>
                  </w:r>
                </w:p>
              </w:tc>
              <w:tc>
                <w:tcPr>
                  <w:tcW w:w="1521" w:type="dxa"/>
                  <w:vAlign w:val="center"/>
                </w:tcPr>
                <w:p w14:paraId="4F119D7D">
                  <w:pPr>
                    <w:pStyle w:val="86"/>
                  </w:pPr>
                  <w:r>
                    <w:t>0.</w:t>
                  </w:r>
                  <w:r>
                    <w:rPr>
                      <w:rFonts w:hint="eastAsia"/>
                    </w:rPr>
                    <w:t>5t/h</w:t>
                  </w:r>
                </w:p>
              </w:tc>
              <w:tc>
                <w:tcPr>
                  <w:tcW w:w="1753" w:type="dxa"/>
                  <w:vAlign w:val="center"/>
                </w:tcPr>
                <w:p w14:paraId="71D3A7EA">
                  <w:pPr>
                    <w:pStyle w:val="86"/>
                  </w:pPr>
                  <w:r>
                    <w:t>2</w:t>
                  </w:r>
                  <w:r>
                    <w:rPr>
                      <w:rFonts w:hint="eastAsia"/>
                    </w:rPr>
                    <w:t>台</w:t>
                  </w:r>
                </w:p>
              </w:tc>
              <w:tc>
                <w:tcPr>
                  <w:tcW w:w="1278" w:type="dxa"/>
                  <w:vAlign w:val="center"/>
                </w:tcPr>
                <w:p w14:paraId="5FDD9E3D">
                  <w:pPr>
                    <w:pStyle w:val="86"/>
                  </w:pPr>
                  <w:r>
                    <w:rPr>
                      <w:rFonts w:hint="eastAsia"/>
                    </w:rPr>
                    <w:t>新增</w:t>
                  </w:r>
                </w:p>
              </w:tc>
            </w:tr>
            <w:tr w14:paraId="01F142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089E076C">
                  <w:pPr>
                    <w:pStyle w:val="86"/>
                  </w:pPr>
                  <w:r>
                    <w:t>2</w:t>
                  </w:r>
                </w:p>
              </w:tc>
              <w:tc>
                <w:tcPr>
                  <w:tcW w:w="2427" w:type="dxa"/>
                  <w:vAlign w:val="center"/>
                </w:tcPr>
                <w:p w14:paraId="318F5F7A">
                  <w:pPr>
                    <w:pStyle w:val="86"/>
                  </w:pPr>
                  <w:r>
                    <w:rPr>
                      <w:rFonts w:hint="eastAsia"/>
                    </w:rPr>
                    <w:t>喂料机</w:t>
                  </w:r>
                </w:p>
              </w:tc>
              <w:tc>
                <w:tcPr>
                  <w:tcW w:w="1832" w:type="dxa"/>
                  <w:vAlign w:val="center"/>
                </w:tcPr>
                <w:p w14:paraId="5FA60982">
                  <w:pPr>
                    <w:pStyle w:val="86"/>
                  </w:pPr>
                  <w:r>
                    <w:rPr>
                      <w:rFonts w:hint="eastAsia"/>
                    </w:rPr>
                    <w:t>处理能力</w:t>
                  </w:r>
                </w:p>
              </w:tc>
              <w:tc>
                <w:tcPr>
                  <w:tcW w:w="1521" w:type="dxa"/>
                  <w:vAlign w:val="center"/>
                </w:tcPr>
                <w:p w14:paraId="644E895C">
                  <w:pPr>
                    <w:pStyle w:val="86"/>
                  </w:pPr>
                  <w:r>
                    <w:t>0.2</w:t>
                  </w:r>
                  <w:r>
                    <w:rPr>
                      <w:rFonts w:hint="eastAsia"/>
                    </w:rPr>
                    <w:t>t/h</w:t>
                  </w:r>
                </w:p>
              </w:tc>
              <w:tc>
                <w:tcPr>
                  <w:tcW w:w="1753" w:type="dxa"/>
                  <w:vAlign w:val="center"/>
                </w:tcPr>
                <w:p w14:paraId="33F8778C">
                  <w:pPr>
                    <w:pStyle w:val="86"/>
                  </w:pPr>
                  <w:r>
                    <w:t>2</w:t>
                  </w:r>
                  <w:r>
                    <w:rPr>
                      <w:rFonts w:hint="eastAsia"/>
                    </w:rPr>
                    <w:t>台</w:t>
                  </w:r>
                </w:p>
              </w:tc>
              <w:tc>
                <w:tcPr>
                  <w:tcW w:w="1278" w:type="dxa"/>
                  <w:vAlign w:val="center"/>
                </w:tcPr>
                <w:p w14:paraId="5E0F09A1">
                  <w:pPr>
                    <w:pStyle w:val="86"/>
                  </w:pPr>
                  <w:r>
                    <w:rPr>
                      <w:rFonts w:hint="eastAsia"/>
                    </w:rPr>
                    <w:t>新增</w:t>
                  </w:r>
                </w:p>
              </w:tc>
            </w:tr>
            <w:tr w14:paraId="70132B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1F848646">
                  <w:pPr>
                    <w:pStyle w:val="86"/>
                  </w:pPr>
                  <w:r>
                    <w:rPr>
                      <w:rFonts w:hint="eastAsia"/>
                    </w:rPr>
                    <w:t>3</w:t>
                  </w:r>
                </w:p>
              </w:tc>
              <w:tc>
                <w:tcPr>
                  <w:tcW w:w="2427" w:type="dxa"/>
                  <w:vAlign w:val="center"/>
                </w:tcPr>
                <w:p w14:paraId="3A2001AD">
                  <w:pPr>
                    <w:pStyle w:val="86"/>
                  </w:pPr>
                  <w:r>
                    <w:rPr>
                      <w:rFonts w:hint="eastAsia"/>
                    </w:rPr>
                    <w:t>清洗机</w:t>
                  </w:r>
                </w:p>
              </w:tc>
              <w:tc>
                <w:tcPr>
                  <w:tcW w:w="1832" w:type="dxa"/>
                  <w:vAlign w:val="center"/>
                </w:tcPr>
                <w:p w14:paraId="7D24E1B9">
                  <w:pPr>
                    <w:pStyle w:val="86"/>
                  </w:pPr>
                  <w:r>
                    <w:rPr>
                      <w:rFonts w:hint="eastAsia"/>
                    </w:rPr>
                    <w:t>清洗能力</w:t>
                  </w:r>
                </w:p>
              </w:tc>
              <w:tc>
                <w:tcPr>
                  <w:tcW w:w="1521" w:type="dxa"/>
                  <w:vAlign w:val="center"/>
                </w:tcPr>
                <w:p w14:paraId="78ED16F2">
                  <w:pPr>
                    <w:pStyle w:val="86"/>
                  </w:pPr>
                  <w:r>
                    <w:t>0.</w:t>
                  </w:r>
                  <w:r>
                    <w:rPr>
                      <w:rFonts w:hint="eastAsia"/>
                    </w:rPr>
                    <w:t>5t/h</w:t>
                  </w:r>
                </w:p>
              </w:tc>
              <w:tc>
                <w:tcPr>
                  <w:tcW w:w="1753" w:type="dxa"/>
                  <w:vAlign w:val="center"/>
                </w:tcPr>
                <w:p w14:paraId="3A963E98">
                  <w:pPr>
                    <w:pStyle w:val="86"/>
                  </w:pPr>
                  <w:r>
                    <w:t>2</w:t>
                  </w:r>
                  <w:r>
                    <w:rPr>
                      <w:rFonts w:hint="eastAsia"/>
                    </w:rPr>
                    <w:t>台</w:t>
                  </w:r>
                </w:p>
              </w:tc>
              <w:tc>
                <w:tcPr>
                  <w:tcW w:w="1278" w:type="dxa"/>
                  <w:vAlign w:val="center"/>
                </w:tcPr>
                <w:p w14:paraId="30EC30A6">
                  <w:pPr>
                    <w:pStyle w:val="86"/>
                  </w:pPr>
                  <w:r>
                    <w:rPr>
                      <w:rFonts w:hint="eastAsia"/>
                    </w:rPr>
                    <w:t>新增</w:t>
                  </w:r>
                </w:p>
              </w:tc>
            </w:tr>
            <w:tr w14:paraId="3A5450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2A7B3CA8">
                  <w:pPr>
                    <w:pStyle w:val="86"/>
                  </w:pPr>
                  <w:r>
                    <w:rPr>
                      <w:rFonts w:hint="eastAsia"/>
                    </w:rPr>
                    <w:t>4</w:t>
                  </w:r>
                </w:p>
              </w:tc>
              <w:tc>
                <w:tcPr>
                  <w:tcW w:w="2427" w:type="dxa"/>
                  <w:vAlign w:val="center"/>
                </w:tcPr>
                <w:p w14:paraId="54D2D0EC">
                  <w:pPr>
                    <w:pStyle w:val="86"/>
                  </w:pPr>
                  <w:r>
                    <w:rPr>
                      <w:rFonts w:hint="eastAsia"/>
                    </w:rPr>
                    <w:t>甩干机</w:t>
                  </w:r>
                </w:p>
              </w:tc>
              <w:tc>
                <w:tcPr>
                  <w:tcW w:w="1832" w:type="dxa"/>
                  <w:vAlign w:val="center"/>
                </w:tcPr>
                <w:p w14:paraId="005520BB">
                  <w:pPr>
                    <w:pStyle w:val="86"/>
                  </w:pPr>
                  <w:r>
                    <w:rPr>
                      <w:rFonts w:hint="eastAsia"/>
                    </w:rPr>
                    <w:t>处理能力</w:t>
                  </w:r>
                </w:p>
              </w:tc>
              <w:tc>
                <w:tcPr>
                  <w:tcW w:w="1521" w:type="dxa"/>
                  <w:vAlign w:val="center"/>
                </w:tcPr>
                <w:p w14:paraId="36A5CA0C">
                  <w:pPr>
                    <w:pStyle w:val="86"/>
                  </w:pPr>
                  <w:r>
                    <w:t>0.</w:t>
                  </w:r>
                  <w:r>
                    <w:rPr>
                      <w:rFonts w:hint="eastAsia"/>
                    </w:rPr>
                    <w:t>5t/h</w:t>
                  </w:r>
                </w:p>
              </w:tc>
              <w:tc>
                <w:tcPr>
                  <w:tcW w:w="1753" w:type="dxa"/>
                  <w:vAlign w:val="center"/>
                </w:tcPr>
                <w:p w14:paraId="1144FFCF">
                  <w:pPr>
                    <w:pStyle w:val="86"/>
                  </w:pPr>
                  <w:r>
                    <w:t>2</w:t>
                  </w:r>
                  <w:r>
                    <w:rPr>
                      <w:rFonts w:hint="eastAsia"/>
                    </w:rPr>
                    <w:t>台</w:t>
                  </w:r>
                </w:p>
              </w:tc>
              <w:tc>
                <w:tcPr>
                  <w:tcW w:w="1278" w:type="dxa"/>
                  <w:vAlign w:val="center"/>
                </w:tcPr>
                <w:p w14:paraId="1F166CB0">
                  <w:pPr>
                    <w:pStyle w:val="86"/>
                  </w:pPr>
                  <w:r>
                    <w:rPr>
                      <w:rFonts w:hint="eastAsia"/>
                    </w:rPr>
                    <w:t>新增</w:t>
                  </w:r>
                </w:p>
              </w:tc>
            </w:tr>
            <w:tr w14:paraId="692E37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4F9425E3">
                  <w:pPr>
                    <w:pStyle w:val="86"/>
                  </w:pPr>
                  <w:r>
                    <w:rPr>
                      <w:rFonts w:hint="eastAsia"/>
                    </w:rPr>
                    <w:t>5</w:t>
                  </w:r>
                </w:p>
              </w:tc>
              <w:tc>
                <w:tcPr>
                  <w:tcW w:w="2427" w:type="dxa"/>
                  <w:vAlign w:val="center"/>
                </w:tcPr>
                <w:p w14:paraId="017E4C03">
                  <w:pPr>
                    <w:pStyle w:val="86"/>
                  </w:pPr>
                  <w:r>
                    <w:rPr>
                      <w:rFonts w:hint="eastAsia"/>
                    </w:rPr>
                    <w:t>造粒主机</w:t>
                  </w:r>
                </w:p>
              </w:tc>
              <w:tc>
                <w:tcPr>
                  <w:tcW w:w="1832" w:type="dxa"/>
                  <w:vAlign w:val="center"/>
                </w:tcPr>
                <w:p w14:paraId="75627E4E">
                  <w:pPr>
                    <w:pStyle w:val="86"/>
                  </w:pPr>
                  <w:r>
                    <w:rPr>
                      <w:rFonts w:hint="eastAsia"/>
                    </w:rPr>
                    <w:t>挤出能力</w:t>
                  </w:r>
                </w:p>
              </w:tc>
              <w:tc>
                <w:tcPr>
                  <w:tcW w:w="1521" w:type="dxa"/>
                  <w:vAlign w:val="center"/>
                </w:tcPr>
                <w:p w14:paraId="6536BAB2">
                  <w:pPr>
                    <w:pStyle w:val="86"/>
                  </w:pPr>
                  <w:r>
                    <w:t>0.2</w:t>
                  </w:r>
                  <w:r>
                    <w:rPr>
                      <w:rFonts w:hint="eastAsia"/>
                    </w:rPr>
                    <w:t>t/h</w:t>
                  </w:r>
                </w:p>
              </w:tc>
              <w:tc>
                <w:tcPr>
                  <w:tcW w:w="1753" w:type="dxa"/>
                  <w:vAlign w:val="center"/>
                </w:tcPr>
                <w:p w14:paraId="7FA533ED">
                  <w:pPr>
                    <w:pStyle w:val="86"/>
                  </w:pPr>
                  <w:r>
                    <w:t>2</w:t>
                  </w:r>
                  <w:r>
                    <w:rPr>
                      <w:rFonts w:hint="eastAsia"/>
                    </w:rPr>
                    <w:t>台</w:t>
                  </w:r>
                </w:p>
              </w:tc>
              <w:tc>
                <w:tcPr>
                  <w:tcW w:w="1278" w:type="dxa"/>
                  <w:vAlign w:val="center"/>
                </w:tcPr>
                <w:p w14:paraId="7FC5FAAA">
                  <w:pPr>
                    <w:pStyle w:val="86"/>
                  </w:pPr>
                  <w:r>
                    <w:rPr>
                      <w:rFonts w:hint="eastAsia"/>
                    </w:rPr>
                    <w:t>新增</w:t>
                  </w:r>
                </w:p>
              </w:tc>
            </w:tr>
            <w:tr w14:paraId="1A0EEB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2D11518D">
                  <w:pPr>
                    <w:pStyle w:val="86"/>
                  </w:pPr>
                  <w:r>
                    <w:rPr>
                      <w:rFonts w:hint="eastAsia"/>
                    </w:rPr>
                    <w:t>6</w:t>
                  </w:r>
                </w:p>
              </w:tc>
              <w:tc>
                <w:tcPr>
                  <w:tcW w:w="2427" w:type="dxa"/>
                  <w:vAlign w:val="center"/>
                </w:tcPr>
                <w:p w14:paraId="0C7258DB">
                  <w:pPr>
                    <w:pStyle w:val="86"/>
                  </w:pPr>
                  <w:r>
                    <w:rPr>
                      <w:rFonts w:hint="eastAsia"/>
                    </w:rPr>
                    <w:t>造粒副机</w:t>
                  </w:r>
                </w:p>
              </w:tc>
              <w:tc>
                <w:tcPr>
                  <w:tcW w:w="1832" w:type="dxa"/>
                  <w:vAlign w:val="center"/>
                </w:tcPr>
                <w:p w14:paraId="3EA7EFE4">
                  <w:pPr>
                    <w:pStyle w:val="86"/>
                  </w:pPr>
                  <w:r>
                    <w:rPr>
                      <w:rFonts w:hint="eastAsia"/>
                    </w:rPr>
                    <w:t>挤出能力</w:t>
                  </w:r>
                </w:p>
              </w:tc>
              <w:tc>
                <w:tcPr>
                  <w:tcW w:w="1521" w:type="dxa"/>
                  <w:vAlign w:val="center"/>
                </w:tcPr>
                <w:p w14:paraId="19C779BD">
                  <w:pPr>
                    <w:pStyle w:val="86"/>
                  </w:pPr>
                  <w:r>
                    <w:t>0.2</w:t>
                  </w:r>
                  <w:r>
                    <w:rPr>
                      <w:rFonts w:hint="eastAsia"/>
                    </w:rPr>
                    <w:t>t/h</w:t>
                  </w:r>
                </w:p>
              </w:tc>
              <w:tc>
                <w:tcPr>
                  <w:tcW w:w="1753" w:type="dxa"/>
                  <w:vAlign w:val="center"/>
                </w:tcPr>
                <w:p w14:paraId="149619A2">
                  <w:pPr>
                    <w:pStyle w:val="86"/>
                  </w:pPr>
                  <w:r>
                    <w:t>2</w:t>
                  </w:r>
                  <w:r>
                    <w:rPr>
                      <w:rFonts w:hint="eastAsia"/>
                    </w:rPr>
                    <w:t>台</w:t>
                  </w:r>
                </w:p>
              </w:tc>
              <w:tc>
                <w:tcPr>
                  <w:tcW w:w="1278" w:type="dxa"/>
                  <w:vAlign w:val="center"/>
                </w:tcPr>
                <w:p w14:paraId="5D622AC0">
                  <w:pPr>
                    <w:pStyle w:val="86"/>
                  </w:pPr>
                  <w:r>
                    <w:rPr>
                      <w:rFonts w:hint="eastAsia"/>
                    </w:rPr>
                    <w:t>新增</w:t>
                  </w:r>
                </w:p>
              </w:tc>
            </w:tr>
            <w:tr w14:paraId="341F95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497AFDCF">
                  <w:pPr>
                    <w:pStyle w:val="86"/>
                  </w:pPr>
                  <w:r>
                    <w:rPr>
                      <w:rFonts w:hint="eastAsia"/>
                    </w:rPr>
                    <w:t>7</w:t>
                  </w:r>
                </w:p>
              </w:tc>
              <w:tc>
                <w:tcPr>
                  <w:tcW w:w="2427" w:type="dxa"/>
                  <w:vAlign w:val="center"/>
                </w:tcPr>
                <w:p w14:paraId="0E67D275">
                  <w:pPr>
                    <w:pStyle w:val="86"/>
                  </w:pPr>
                  <w:r>
                    <w:rPr>
                      <w:rFonts w:hint="eastAsia"/>
                    </w:rPr>
                    <w:t>造粒副机</w:t>
                  </w:r>
                </w:p>
              </w:tc>
              <w:tc>
                <w:tcPr>
                  <w:tcW w:w="1832" w:type="dxa"/>
                  <w:vAlign w:val="center"/>
                </w:tcPr>
                <w:p w14:paraId="056E0736">
                  <w:pPr>
                    <w:pStyle w:val="86"/>
                  </w:pPr>
                  <w:r>
                    <w:rPr>
                      <w:rFonts w:hint="eastAsia"/>
                    </w:rPr>
                    <w:t>挤出能力</w:t>
                  </w:r>
                </w:p>
              </w:tc>
              <w:tc>
                <w:tcPr>
                  <w:tcW w:w="1521" w:type="dxa"/>
                  <w:vAlign w:val="center"/>
                </w:tcPr>
                <w:p w14:paraId="40018754">
                  <w:pPr>
                    <w:pStyle w:val="86"/>
                  </w:pPr>
                  <w:r>
                    <w:t>0.2</w:t>
                  </w:r>
                  <w:r>
                    <w:rPr>
                      <w:rFonts w:hint="eastAsia"/>
                    </w:rPr>
                    <w:t>t/h</w:t>
                  </w:r>
                </w:p>
              </w:tc>
              <w:tc>
                <w:tcPr>
                  <w:tcW w:w="1753" w:type="dxa"/>
                  <w:vAlign w:val="center"/>
                </w:tcPr>
                <w:p w14:paraId="15B17D88">
                  <w:pPr>
                    <w:pStyle w:val="86"/>
                  </w:pPr>
                  <w:r>
                    <w:t>2</w:t>
                  </w:r>
                  <w:r>
                    <w:rPr>
                      <w:rFonts w:hint="eastAsia"/>
                    </w:rPr>
                    <w:t>台</w:t>
                  </w:r>
                </w:p>
              </w:tc>
              <w:tc>
                <w:tcPr>
                  <w:tcW w:w="1278" w:type="dxa"/>
                  <w:vAlign w:val="center"/>
                </w:tcPr>
                <w:p w14:paraId="55297FFB">
                  <w:pPr>
                    <w:pStyle w:val="86"/>
                  </w:pPr>
                  <w:r>
                    <w:rPr>
                      <w:rFonts w:hint="eastAsia"/>
                    </w:rPr>
                    <w:t>新增</w:t>
                  </w:r>
                </w:p>
              </w:tc>
            </w:tr>
            <w:tr w14:paraId="7CECE8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3AA9D242">
                  <w:pPr>
                    <w:pStyle w:val="86"/>
                  </w:pPr>
                  <w:r>
                    <w:rPr>
                      <w:rFonts w:hint="eastAsia"/>
                    </w:rPr>
                    <w:t>8</w:t>
                  </w:r>
                </w:p>
              </w:tc>
              <w:tc>
                <w:tcPr>
                  <w:tcW w:w="2427" w:type="dxa"/>
                  <w:vAlign w:val="center"/>
                </w:tcPr>
                <w:p w14:paraId="1FF406B2">
                  <w:pPr>
                    <w:pStyle w:val="86"/>
                  </w:pPr>
                  <w:r>
                    <w:rPr>
                      <w:rFonts w:hint="eastAsia"/>
                    </w:rPr>
                    <w:t>切粒机</w:t>
                  </w:r>
                </w:p>
              </w:tc>
              <w:tc>
                <w:tcPr>
                  <w:tcW w:w="1832" w:type="dxa"/>
                  <w:vAlign w:val="center"/>
                </w:tcPr>
                <w:p w14:paraId="21483A84">
                  <w:pPr>
                    <w:pStyle w:val="86"/>
                  </w:pPr>
                  <w:r>
                    <w:rPr>
                      <w:rFonts w:hint="eastAsia"/>
                    </w:rPr>
                    <w:t>处理能力</w:t>
                  </w:r>
                </w:p>
              </w:tc>
              <w:tc>
                <w:tcPr>
                  <w:tcW w:w="1521" w:type="dxa"/>
                  <w:vAlign w:val="center"/>
                </w:tcPr>
                <w:p w14:paraId="6FB19089">
                  <w:pPr>
                    <w:pStyle w:val="86"/>
                  </w:pPr>
                  <w:r>
                    <w:t>0.2</w:t>
                  </w:r>
                  <w:r>
                    <w:rPr>
                      <w:rFonts w:hint="eastAsia"/>
                    </w:rPr>
                    <w:t>t/h</w:t>
                  </w:r>
                </w:p>
              </w:tc>
              <w:tc>
                <w:tcPr>
                  <w:tcW w:w="1753" w:type="dxa"/>
                  <w:vAlign w:val="center"/>
                </w:tcPr>
                <w:p w14:paraId="0A02C89D">
                  <w:pPr>
                    <w:pStyle w:val="86"/>
                  </w:pPr>
                  <w:r>
                    <w:t>2</w:t>
                  </w:r>
                  <w:r>
                    <w:rPr>
                      <w:rFonts w:hint="eastAsia"/>
                    </w:rPr>
                    <w:t>台</w:t>
                  </w:r>
                </w:p>
              </w:tc>
              <w:tc>
                <w:tcPr>
                  <w:tcW w:w="1278" w:type="dxa"/>
                  <w:vAlign w:val="center"/>
                </w:tcPr>
                <w:p w14:paraId="27D6F7CB">
                  <w:pPr>
                    <w:pStyle w:val="86"/>
                  </w:pPr>
                  <w:r>
                    <w:rPr>
                      <w:rFonts w:hint="eastAsia"/>
                    </w:rPr>
                    <w:t>新增</w:t>
                  </w:r>
                </w:p>
              </w:tc>
            </w:tr>
            <w:tr w14:paraId="76FBDC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27A195AE">
                  <w:pPr>
                    <w:pStyle w:val="86"/>
                  </w:pPr>
                  <w:r>
                    <w:rPr>
                      <w:rFonts w:hint="eastAsia"/>
                    </w:rPr>
                    <w:t>9</w:t>
                  </w:r>
                </w:p>
              </w:tc>
              <w:tc>
                <w:tcPr>
                  <w:tcW w:w="2427" w:type="dxa"/>
                  <w:vAlign w:val="center"/>
                </w:tcPr>
                <w:p w14:paraId="7CF7F9D1">
                  <w:pPr>
                    <w:pStyle w:val="86"/>
                  </w:pPr>
                  <w:r>
                    <w:rPr>
                      <w:rFonts w:hint="eastAsia"/>
                    </w:rPr>
                    <w:t>冷却水槽</w:t>
                  </w:r>
                </w:p>
              </w:tc>
              <w:tc>
                <w:tcPr>
                  <w:tcW w:w="1832" w:type="dxa"/>
                  <w:vAlign w:val="center"/>
                </w:tcPr>
                <w:p w14:paraId="101343DE">
                  <w:pPr>
                    <w:pStyle w:val="86"/>
                  </w:pPr>
                  <w:r>
                    <w:rPr>
                      <w:rFonts w:hint="eastAsia"/>
                    </w:rPr>
                    <w:t>处理能力</w:t>
                  </w:r>
                </w:p>
              </w:tc>
              <w:tc>
                <w:tcPr>
                  <w:tcW w:w="1521" w:type="dxa"/>
                  <w:vAlign w:val="center"/>
                </w:tcPr>
                <w:p w14:paraId="5037BD50">
                  <w:pPr>
                    <w:pStyle w:val="86"/>
                  </w:pPr>
                  <w:r>
                    <w:t>0.2</w:t>
                  </w:r>
                  <w:r>
                    <w:rPr>
                      <w:rFonts w:hint="eastAsia"/>
                    </w:rPr>
                    <w:t>t/h</w:t>
                  </w:r>
                </w:p>
              </w:tc>
              <w:tc>
                <w:tcPr>
                  <w:tcW w:w="1753" w:type="dxa"/>
                  <w:vAlign w:val="center"/>
                </w:tcPr>
                <w:p w14:paraId="05667F9B">
                  <w:pPr>
                    <w:pStyle w:val="86"/>
                  </w:pPr>
                  <w:r>
                    <w:t>2</w:t>
                  </w:r>
                  <w:r>
                    <w:rPr>
                      <w:rFonts w:hint="eastAsia"/>
                    </w:rPr>
                    <w:t>台</w:t>
                  </w:r>
                </w:p>
              </w:tc>
              <w:tc>
                <w:tcPr>
                  <w:tcW w:w="1278" w:type="dxa"/>
                  <w:vAlign w:val="center"/>
                </w:tcPr>
                <w:p w14:paraId="483A131B">
                  <w:pPr>
                    <w:pStyle w:val="86"/>
                  </w:pPr>
                  <w:r>
                    <w:rPr>
                      <w:rFonts w:hint="eastAsia"/>
                    </w:rPr>
                    <w:t>新增</w:t>
                  </w:r>
                </w:p>
              </w:tc>
            </w:tr>
            <w:tr w14:paraId="357E00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7C43C80E">
                  <w:pPr>
                    <w:pStyle w:val="86"/>
                  </w:pPr>
                  <w:r>
                    <w:rPr>
                      <w:rFonts w:hint="eastAsia"/>
                    </w:rPr>
                    <w:t>1</w:t>
                  </w:r>
                  <w:r>
                    <w:t>0</w:t>
                  </w:r>
                </w:p>
              </w:tc>
              <w:tc>
                <w:tcPr>
                  <w:tcW w:w="2427" w:type="dxa"/>
                  <w:vAlign w:val="center"/>
                </w:tcPr>
                <w:p w14:paraId="4F5EBF31">
                  <w:pPr>
                    <w:pStyle w:val="86"/>
                  </w:pPr>
                  <w:r>
                    <w:rPr>
                      <w:rFonts w:hint="eastAsia"/>
                    </w:rPr>
                    <w:t>储料仓</w:t>
                  </w:r>
                </w:p>
              </w:tc>
              <w:tc>
                <w:tcPr>
                  <w:tcW w:w="1832" w:type="dxa"/>
                  <w:vAlign w:val="center"/>
                </w:tcPr>
                <w:p w14:paraId="00D98941">
                  <w:pPr>
                    <w:pStyle w:val="86"/>
                  </w:pPr>
                  <w:r>
                    <w:rPr>
                      <w:rFonts w:hint="eastAsia"/>
                    </w:rPr>
                    <w:t>储存能力</w:t>
                  </w:r>
                </w:p>
              </w:tc>
              <w:tc>
                <w:tcPr>
                  <w:tcW w:w="1521" w:type="dxa"/>
                  <w:vAlign w:val="center"/>
                </w:tcPr>
                <w:p w14:paraId="34733CE9">
                  <w:pPr>
                    <w:pStyle w:val="86"/>
                  </w:pPr>
                  <w:r>
                    <w:rPr>
                      <w:rFonts w:hint="eastAsia"/>
                    </w:rPr>
                    <w:t>1t</w:t>
                  </w:r>
                </w:p>
              </w:tc>
              <w:tc>
                <w:tcPr>
                  <w:tcW w:w="1753" w:type="dxa"/>
                  <w:vAlign w:val="center"/>
                </w:tcPr>
                <w:p w14:paraId="43F47643">
                  <w:pPr>
                    <w:pStyle w:val="86"/>
                  </w:pPr>
                  <w:r>
                    <w:t>2</w:t>
                  </w:r>
                  <w:r>
                    <w:rPr>
                      <w:rFonts w:hint="eastAsia"/>
                    </w:rPr>
                    <w:t>台</w:t>
                  </w:r>
                </w:p>
              </w:tc>
              <w:tc>
                <w:tcPr>
                  <w:tcW w:w="1278" w:type="dxa"/>
                  <w:vAlign w:val="center"/>
                </w:tcPr>
                <w:p w14:paraId="1469AF7D">
                  <w:pPr>
                    <w:pStyle w:val="86"/>
                  </w:pPr>
                  <w:r>
                    <w:rPr>
                      <w:rFonts w:hint="eastAsia"/>
                    </w:rPr>
                    <w:t>新增</w:t>
                  </w:r>
                </w:p>
              </w:tc>
            </w:tr>
            <w:tr w14:paraId="7050E6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5" w:type="dxa"/>
                  <w:vAlign w:val="center"/>
                </w:tcPr>
                <w:p w14:paraId="3DEA5556">
                  <w:pPr>
                    <w:pStyle w:val="86"/>
                  </w:pPr>
                  <w:r>
                    <w:rPr>
                      <w:rFonts w:hint="eastAsia"/>
                    </w:rPr>
                    <w:t>1</w:t>
                  </w:r>
                  <w:r>
                    <w:t>1</w:t>
                  </w:r>
                </w:p>
              </w:tc>
              <w:tc>
                <w:tcPr>
                  <w:tcW w:w="2427" w:type="dxa"/>
                  <w:vAlign w:val="center"/>
                </w:tcPr>
                <w:p w14:paraId="61D896F6">
                  <w:pPr>
                    <w:pStyle w:val="86"/>
                  </w:pPr>
                  <w:r>
                    <w:rPr>
                      <w:rFonts w:hint="eastAsia"/>
                    </w:rPr>
                    <w:t>自动包装机</w:t>
                  </w:r>
                </w:p>
              </w:tc>
              <w:tc>
                <w:tcPr>
                  <w:tcW w:w="1832" w:type="dxa"/>
                  <w:vAlign w:val="center"/>
                </w:tcPr>
                <w:p w14:paraId="4D244996">
                  <w:pPr>
                    <w:pStyle w:val="86"/>
                  </w:pPr>
                  <w:r>
                    <w:rPr>
                      <w:rFonts w:hint="eastAsia"/>
                    </w:rPr>
                    <w:t>包装能力</w:t>
                  </w:r>
                </w:p>
              </w:tc>
              <w:tc>
                <w:tcPr>
                  <w:tcW w:w="1521" w:type="dxa"/>
                  <w:vAlign w:val="center"/>
                </w:tcPr>
                <w:p w14:paraId="0427E0C1">
                  <w:pPr>
                    <w:pStyle w:val="86"/>
                  </w:pPr>
                  <w:r>
                    <w:t>0.4</w:t>
                  </w:r>
                  <w:r>
                    <w:rPr>
                      <w:rFonts w:hint="eastAsia"/>
                    </w:rPr>
                    <w:t>t/h</w:t>
                  </w:r>
                </w:p>
              </w:tc>
              <w:tc>
                <w:tcPr>
                  <w:tcW w:w="1753" w:type="dxa"/>
                  <w:vAlign w:val="center"/>
                </w:tcPr>
                <w:p w14:paraId="08E5F6C0">
                  <w:pPr>
                    <w:pStyle w:val="86"/>
                  </w:pPr>
                  <w:r>
                    <w:t>1</w:t>
                  </w:r>
                  <w:r>
                    <w:rPr>
                      <w:rFonts w:hint="eastAsia"/>
                    </w:rPr>
                    <w:t>台</w:t>
                  </w:r>
                </w:p>
              </w:tc>
              <w:tc>
                <w:tcPr>
                  <w:tcW w:w="1278" w:type="dxa"/>
                  <w:vAlign w:val="center"/>
                </w:tcPr>
                <w:p w14:paraId="7937E4C9">
                  <w:pPr>
                    <w:pStyle w:val="86"/>
                  </w:pPr>
                  <w:r>
                    <w:rPr>
                      <w:rFonts w:hint="eastAsia"/>
                    </w:rPr>
                    <w:t>新增</w:t>
                  </w:r>
                </w:p>
              </w:tc>
            </w:tr>
            <w:tr w14:paraId="46ACD9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6" w:type="dxa"/>
                  <w:gridSpan w:val="6"/>
                  <w:vAlign w:val="center"/>
                </w:tcPr>
                <w:p w14:paraId="2313B8FF">
                  <w:pPr>
                    <w:pStyle w:val="86"/>
                    <w:ind w:firstLine="422" w:firstLineChars="200"/>
                    <w:jc w:val="both"/>
                    <w:rPr>
                      <w:b/>
                      <w:bCs w:val="0"/>
                    </w:rPr>
                  </w:pPr>
                  <w:r>
                    <w:rPr>
                      <w:rFonts w:hint="eastAsia"/>
                      <w:b/>
                      <w:bCs w:val="0"/>
                    </w:rPr>
                    <w:t>注：破碎机、清洗机、甩干机每天工作8h，其他每天工作20h。</w:t>
                  </w:r>
                </w:p>
              </w:tc>
            </w:tr>
          </w:tbl>
          <w:p w14:paraId="081C78E8">
            <w:pPr>
              <w:pStyle w:val="90"/>
              <w:ind w:firstLine="482"/>
            </w:pPr>
            <w:r>
              <w:t>5、原辅材料消耗量</w:t>
            </w:r>
          </w:p>
          <w:p w14:paraId="76B482A6">
            <w:pPr>
              <w:pStyle w:val="28"/>
              <w:ind w:firstLine="480"/>
              <w:rPr>
                <w:color w:val="000000" w:themeColor="text1"/>
                <w14:textFill>
                  <w14:solidFill>
                    <w14:schemeClr w14:val="tx1"/>
                  </w14:solidFill>
                </w14:textFill>
              </w:rPr>
            </w:pPr>
            <w:r>
              <w:t>本项目原辅材料消耗量见下表</w:t>
            </w:r>
            <w:r>
              <w:rPr>
                <w:color w:val="000000" w:themeColor="text1"/>
                <w14:textFill>
                  <w14:solidFill>
                    <w14:schemeClr w14:val="tx1"/>
                  </w14:solidFill>
                </w14:textFill>
              </w:rPr>
              <w:t>。</w:t>
            </w:r>
          </w:p>
          <w:p w14:paraId="7382A5F2">
            <w:pPr>
              <w:pStyle w:val="67"/>
              <w:ind w:firstLine="480"/>
              <w:rPr>
                <w:lang w:val="pt-BR"/>
              </w:rPr>
            </w:pPr>
            <w:r>
              <w:rPr>
                <w:lang w:val="pt-BR"/>
              </w:rPr>
              <w:t xml:space="preserve">                   本项目原辅材料消耗量</w:t>
            </w:r>
          </w:p>
          <w:tbl>
            <w:tblPr>
              <w:tblStyle w:val="20"/>
              <w:tblW w:w="4998"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626"/>
              <w:gridCol w:w="1900"/>
              <w:gridCol w:w="2173"/>
              <w:gridCol w:w="2156"/>
            </w:tblGrid>
            <w:tr w14:paraId="14A42C0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 w:type="pct"/>
                  <w:vAlign w:val="center"/>
                </w:tcPr>
                <w:p w14:paraId="762529A6">
                  <w:pPr>
                    <w:widowControl/>
                    <w:jc w:val="center"/>
                    <w:rPr>
                      <w:b/>
                      <w:color w:val="000000" w:themeColor="text1"/>
                      <w:kern w:val="0"/>
                      <w:szCs w:val="21"/>
                      <w:lang w:val="pt-BR"/>
                      <w14:textFill>
                        <w14:solidFill>
                          <w14:schemeClr w14:val="tx1"/>
                        </w14:solidFill>
                      </w14:textFill>
                    </w:rPr>
                  </w:pPr>
                  <w:bookmarkStart w:id="1" w:name="_Hlk101369615"/>
                  <w:r>
                    <w:rPr>
                      <w:b/>
                      <w:color w:val="000000" w:themeColor="text1"/>
                      <w:kern w:val="0"/>
                      <w:szCs w:val="21"/>
                      <w14:textFill>
                        <w14:solidFill>
                          <w14:schemeClr w14:val="tx1"/>
                        </w14:solidFill>
                      </w14:textFill>
                    </w:rPr>
                    <w:t>序号</w:t>
                  </w:r>
                </w:p>
              </w:tc>
              <w:tc>
                <w:tcPr>
                  <w:tcW w:w="953" w:type="pct"/>
                  <w:vAlign w:val="center"/>
                </w:tcPr>
                <w:p w14:paraId="0ABBC583">
                  <w:pPr>
                    <w:widowControl/>
                    <w:jc w:val="center"/>
                    <w:rPr>
                      <w:b/>
                      <w:color w:val="000000" w:themeColor="text1"/>
                      <w:kern w:val="0"/>
                      <w:szCs w:val="21"/>
                      <w:lang w:val="pt-BR"/>
                      <w14:textFill>
                        <w14:solidFill>
                          <w14:schemeClr w14:val="tx1"/>
                        </w14:solidFill>
                      </w14:textFill>
                    </w:rPr>
                  </w:pPr>
                  <w:r>
                    <w:rPr>
                      <w:b/>
                      <w:color w:val="000000" w:themeColor="text1"/>
                      <w:kern w:val="0"/>
                      <w:szCs w:val="21"/>
                      <w14:textFill>
                        <w14:solidFill>
                          <w14:schemeClr w14:val="tx1"/>
                        </w14:solidFill>
                      </w14:textFill>
                    </w:rPr>
                    <w:t>名称</w:t>
                  </w:r>
                </w:p>
              </w:tc>
              <w:tc>
                <w:tcPr>
                  <w:tcW w:w="1114" w:type="pct"/>
                  <w:vAlign w:val="center"/>
                </w:tcPr>
                <w:p w14:paraId="6094DDF9">
                  <w:pPr>
                    <w:widowControl/>
                    <w:jc w:val="center"/>
                    <w:rPr>
                      <w:b/>
                      <w:color w:val="000000" w:themeColor="text1"/>
                      <w:kern w:val="0"/>
                      <w:szCs w:val="21"/>
                      <w:lang w:val="pt-BR"/>
                      <w14:textFill>
                        <w14:solidFill>
                          <w14:schemeClr w14:val="tx1"/>
                        </w14:solidFill>
                      </w14:textFill>
                    </w:rPr>
                  </w:pPr>
                  <w:r>
                    <w:rPr>
                      <w:b/>
                      <w:color w:val="000000" w:themeColor="text1"/>
                      <w:kern w:val="0"/>
                      <w:szCs w:val="21"/>
                      <w14:textFill>
                        <w14:solidFill>
                          <w14:schemeClr w14:val="tx1"/>
                        </w14:solidFill>
                      </w14:textFill>
                    </w:rPr>
                    <w:t>用量</w:t>
                  </w:r>
                </w:p>
              </w:tc>
              <w:tc>
                <w:tcPr>
                  <w:tcW w:w="1274" w:type="pct"/>
                  <w:vAlign w:val="center"/>
                </w:tcPr>
                <w:p w14:paraId="4A1479D1">
                  <w:pPr>
                    <w:widowControl/>
                    <w:jc w:val="center"/>
                    <w:rPr>
                      <w:b/>
                      <w:color w:val="000000" w:themeColor="text1"/>
                      <w:kern w:val="0"/>
                      <w:szCs w:val="21"/>
                      <w:lang w:val="pt-BR"/>
                      <w14:textFill>
                        <w14:solidFill>
                          <w14:schemeClr w14:val="tx1"/>
                        </w14:solidFill>
                      </w14:textFill>
                    </w:rPr>
                  </w:pPr>
                  <w:r>
                    <w:rPr>
                      <w:rFonts w:hint="eastAsia" w:cs="宋体"/>
                      <w:b/>
                      <w:szCs w:val="20"/>
                    </w:rPr>
                    <w:t>包装规格</w:t>
                  </w:r>
                  <w:r>
                    <w:rPr>
                      <w:rFonts w:hint="eastAsia" w:cs="宋体"/>
                      <w:b/>
                      <w:szCs w:val="20"/>
                      <w:lang w:val="pt-BR"/>
                    </w:rPr>
                    <w:t>/</w:t>
                  </w:r>
                  <w:r>
                    <w:rPr>
                      <w:rFonts w:hint="eastAsia" w:cs="宋体"/>
                      <w:b/>
                      <w:szCs w:val="20"/>
                    </w:rPr>
                    <w:t>储存方式</w:t>
                  </w:r>
                </w:p>
              </w:tc>
              <w:tc>
                <w:tcPr>
                  <w:tcW w:w="1264" w:type="pct"/>
                  <w:vAlign w:val="center"/>
                </w:tcPr>
                <w:p w14:paraId="0E921109">
                  <w:pPr>
                    <w:widowControl/>
                    <w:jc w:val="center"/>
                    <w:rPr>
                      <w:b/>
                      <w:color w:val="000000" w:themeColor="text1"/>
                      <w:kern w:val="0"/>
                      <w:szCs w:val="21"/>
                      <w:lang w:val="pt-BR"/>
                      <w14:textFill>
                        <w14:solidFill>
                          <w14:schemeClr w14:val="tx1"/>
                        </w14:solidFill>
                      </w14:textFill>
                    </w:rPr>
                  </w:pPr>
                  <w:r>
                    <w:rPr>
                      <w:rFonts w:hint="eastAsia" w:cs="宋体"/>
                      <w:b/>
                      <w:szCs w:val="20"/>
                    </w:rPr>
                    <w:t>备注</w:t>
                  </w:r>
                </w:p>
              </w:tc>
            </w:tr>
            <w:tr w14:paraId="459334D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14:paraId="793A1DB9">
                  <w:pPr>
                    <w:widowControl/>
                    <w:jc w:val="center"/>
                    <w:rPr>
                      <w:b/>
                      <w:color w:val="000000" w:themeColor="text1"/>
                      <w:kern w:val="0"/>
                      <w:szCs w:val="21"/>
                      <w:lang w:val="pt-BR"/>
                      <w14:textFill>
                        <w14:solidFill>
                          <w14:schemeClr w14:val="tx1"/>
                        </w14:solidFill>
                      </w14:textFill>
                    </w:rPr>
                  </w:pPr>
                  <w:r>
                    <w:rPr>
                      <w:rFonts w:hint="eastAsia"/>
                      <w:b/>
                      <w:color w:val="000000" w:themeColor="text1"/>
                      <w:kern w:val="0"/>
                      <w:szCs w:val="21"/>
                      <w:lang w:val="pt-BR"/>
                      <w14:textFill>
                        <w14:solidFill>
                          <w14:schemeClr w14:val="tx1"/>
                        </w14:solidFill>
                      </w14:textFill>
                    </w:rPr>
                    <w:t>原辅料</w:t>
                  </w:r>
                </w:p>
              </w:tc>
            </w:tr>
            <w:tr w14:paraId="5D6D6A6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 w:type="pct"/>
                  <w:vAlign w:val="center"/>
                </w:tcPr>
                <w:p w14:paraId="59EE9667">
                  <w:pPr>
                    <w:jc w:val="center"/>
                    <w:rPr>
                      <w:color w:val="000000" w:themeColor="text1"/>
                      <w:szCs w:val="21"/>
                      <w:lang w:val="pt-BR"/>
                      <w14:textFill>
                        <w14:solidFill>
                          <w14:schemeClr w14:val="tx1"/>
                        </w14:solidFill>
                      </w14:textFill>
                    </w:rPr>
                  </w:pPr>
                  <w:r>
                    <w:rPr>
                      <w:color w:val="000000" w:themeColor="text1"/>
                      <w:szCs w:val="21"/>
                      <w:lang w:val="pt-BR"/>
                      <w14:textFill>
                        <w14:solidFill>
                          <w14:schemeClr w14:val="tx1"/>
                        </w14:solidFill>
                      </w14:textFill>
                    </w:rPr>
                    <w:t>1</w:t>
                  </w:r>
                </w:p>
              </w:tc>
              <w:tc>
                <w:tcPr>
                  <w:tcW w:w="953" w:type="pct"/>
                  <w:vAlign w:val="center"/>
                </w:tcPr>
                <w:p w14:paraId="310CE0CF">
                  <w:pPr>
                    <w:pStyle w:val="86"/>
                  </w:pPr>
                  <w:r>
                    <w:rPr>
                      <w:rFonts w:hint="eastAsia"/>
                    </w:rPr>
                    <w:t>废塑料皮</w:t>
                  </w:r>
                </w:p>
              </w:tc>
              <w:tc>
                <w:tcPr>
                  <w:tcW w:w="1114" w:type="pct"/>
                  <w:vAlign w:val="center"/>
                </w:tcPr>
                <w:p w14:paraId="5619348C">
                  <w:pPr>
                    <w:pStyle w:val="86"/>
                    <w:rPr>
                      <w:lang w:val="pt-BR"/>
                    </w:rPr>
                  </w:pPr>
                  <w:r>
                    <w:rPr>
                      <w:lang w:val="pt-BR"/>
                    </w:rPr>
                    <w:t>2020</w:t>
                  </w:r>
                  <w:r>
                    <w:rPr>
                      <w:rFonts w:hint="eastAsia"/>
                      <w:lang w:val="pt-BR"/>
                    </w:rPr>
                    <w:t>t/a</w:t>
                  </w:r>
                </w:p>
              </w:tc>
              <w:tc>
                <w:tcPr>
                  <w:tcW w:w="1274" w:type="pct"/>
                  <w:vAlign w:val="center"/>
                </w:tcPr>
                <w:p w14:paraId="2001C66A">
                  <w:pPr>
                    <w:jc w:val="center"/>
                    <w:rPr>
                      <w:szCs w:val="21"/>
                    </w:rPr>
                  </w:pPr>
                  <w:r>
                    <w:rPr>
                      <w:rFonts w:hint="eastAsia"/>
                      <w:szCs w:val="21"/>
                    </w:rPr>
                    <w:t>吨包</w:t>
                  </w:r>
                </w:p>
              </w:tc>
              <w:tc>
                <w:tcPr>
                  <w:tcW w:w="1264" w:type="pct"/>
                  <w:vAlign w:val="center"/>
                </w:tcPr>
                <w:p w14:paraId="7F25850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外购，材质为P</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、P</w:t>
                  </w:r>
                  <w:r>
                    <w:rPr>
                      <w:color w:val="000000" w:themeColor="text1"/>
                      <w:szCs w:val="21"/>
                      <w14:textFill>
                        <w14:solidFill>
                          <w14:schemeClr w14:val="tx1"/>
                        </w14:solidFill>
                      </w14:textFill>
                    </w:rPr>
                    <w:t>E</w:t>
                  </w:r>
                </w:p>
              </w:tc>
            </w:tr>
            <w:tr w14:paraId="0C9E76B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14:paraId="5BBD6A28">
                  <w:pPr>
                    <w:jc w:val="center"/>
                    <w:rPr>
                      <w:b/>
                      <w:bCs/>
                      <w:color w:val="000000" w:themeColor="text1"/>
                      <w:szCs w:val="21"/>
                      <w:lang w:val="pt-BR"/>
                      <w14:textFill>
                        <w14:solidFill>
                          <w14:schemeClr w14:val="tx1"/>
                        </w14:solidFill>
                      </w14:textFill>
                    </w:rPr>
                  </w:pPr>
                  <w:r>
                    <w:rPr>
                      <w:rFonts w:hint="eastAsia"/>
                      <w:b/>
                      <w:bCs/>
                      <w:color w:val="000000" w:themeColor="text1"/>
                      <w:szCs w:val="21"/>
                      <w:lang w:val="pt-BR"/>
                      <w14:textFill>
                        <w14:solidFill>
                          <w14:schemeClr w14:val="tx1"/>
                        </w14:solidFill>
                      </w14:textFill>
                    </w:rPr>
                    <w:t>公用工程</w:t>
                  </w:r>
                </w:p>
              </w:tc>
            </w:tr>
            <w:tr w14:paraId="74B5C5E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 w:type="pct"/>
                  <w:vAlign w:val="center"/>
                </w:tcPr>
                <w:p w14:paraId="363C4F4D">
                  <w:pPr>
                    <w:jc w:val="center"/>
                    <w:rPr>
                      <w:color w:val="000000" w:themeColor="text1"/>
                      <w:szCs w:val="21"/>
                      <w:lang w:val="pt-BR"/>
                      <w14:textFill>
                        <w14:solidFill>
                          <w14:schemeClr w14:val="tx1"/>
                        </w14:solidFill>
                      </w14:textFill>
                    </w:rPr>
                  </w:pPr>
                  <w:r>
                    <w:rPr>
                      <w:color w:val="000000" w:themeColor="text1"/>
                      <w:szCs w:val="21"/>
                      <w:lang w:val="pt-BR"/>
                      <w14:textFill>
                        <w14:solidFill>
                          <w14:schemeClr w14:val="tx1"/>
                        </w14:solidFill>
                      </w14:textFill>
                    </w:rPr>
                    <w:t>2</w:t>
                  </w:r>
                </w:p>
              </w:tc>
              <w:tc>
                <w:tcPr>
                  <w:tcW w:w="953" w:type="pct"/>
                  <w:vAlign w:val="center"/>
                </w:tcPr>
                <w:p w14:paraId="42BAFF22">
                  <w:pPr>
                    <w:jc w:val="center"/>
                    <w:rPr>
                      <w:szCs w:val="21"/>
                      <w:lang w:val="pt-BR"/>
                    </w:rPr>
                  </w:pPr>
                  <w:r>
                    <w:rPr>
                      <w:rFonts w:hint="eastAsia"/>
                      <w:szCs w:val="21"/>
                    </w:rPr>
                    <w:t>电</w:t>
                  </w:r>
                </w:p>
              </w:tc>
              <w:tc>
                <w:tcPr>
                  <w:tcW w:w="1114" w:type="pct"/>
                  <w:vAlign w:val="center"/>
                </w:tcPr>
                <w:p w14:paraId="1ADAA41B">
                  <w:pPr>
                    <w:jc w:val="center"/>
                    <w:rPr>
                      <w:szCs w:val="21"/>
                      <w:lang w:val="pt-BR"/>
                    </w:rPr>
                  </w:pPr>
                  <w:r>
                    <w:rPr>
                      <w:szCs w:val="21"/>
                      <w:lang w:val="pt-BR"/>
                    </w:rPr>
                    <w:t>120</w:t>
                  </w:r>
                  <w:r>
                    <w:rPr>
                      <w:rFonts w:hint="eastAsia"/>
                      <w:szCs w:val="21"/>
                    </w:rPr>
                    <w:t>万</w:t>
                  </w:r>
                  <w:r>
                    <w:rPr>
                      <w:rFonts w:hint="eastAsia"/>
                      <w:szCs w:val="21"/>
                      <w:lang w:val="pt-BR"/>
                    </w:rPr>
                    <w:t>kw·h/a</w:t>
                  </w:r>
                </w:p>
              </w:tc>
              <w:tc>
                <w:tcPr>
                  <w:tcW w:w="1274" w:type="pct"/>
                  <w:vAlign w:val="center"/>
                </w:tcPr>
                <w:p w14:paraId="50D650BC">
                  <w:pPr>
                    <w:jc w:val="center"/>
                    <w:rPr>
                      <w:szCs w:val="21"/>
                      <w:lang w:val="pt-BR"/>
                    </w:rPr>
                  </w:pPr>
                  <w:r>
                    <w:rPr>
                      <w:rFonts w:hint="eastAsia"/>
                      <w:szCs w:val="21"/>
                      <w:lang w:val="pt-BR"/>
                    </w:rPr>
                    <w:t>/</w:t>
                  </w:r>
                </w:p>
              </w:tc>
              <w:tc>
                <w:tcPr>
                  <w:tcW w:w="1264" w:type="pct"/>
                  <w:vAlign w:val="center"/>
                </w:tcPr>
                <w:p w14:paraId="48E42D97">
                  <w:pPr>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w:t>
                  </w:r>
                </w:p>
              </w:tc>
            </w:tr>
            <w:tr w14:paraId="3AB3372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 w:type="pct"/>
                  <w:vAlign w:val="center"/>
                </w:tcPr>
                <w:p w14:paraId="7C763D21">
                  <w:pPr>
                    <w:jc w:val="center"/>
                    <w:rPr>
                      <w:color w:val="000000" w:themeColor="text1"/>
                      <w:szCs w:val="21"/>
                      <w:lang w:val="pt-BR"/>
                      <w14:textFill>
                        <w14:solidFill>
                          <w14:schemeClr w14:val="tx1"/>
                        </w14:solidFill>
                      </w14:textFill>
                    </w:rPr>
                  </w:pPr>
                  <w:r>
                    <w:rPr>
                      <w:color w:val="000000" w:themeColor="text1"/>
                      <w:szCs w:val="21"/>
                      <w:lang w:val="pt-BR"/>
                      <w14:textFill>
                        <w14:solidFill>
                          <w14:schemeClr w14:val="tx1"/>
                        </w14:solidFill>
                      </w14:textFill>
                    </w:rPr>
                    <w:t>3</w:t>
                  </w:r>
                </w:p>
              </w:tc>
              <w:tc>
                <w:tcPr>
                  <w:tcW w:w="953" w:type="pct"/>
                  <w:vAlign w:val="center"/>
                </w:tcPr>
                <w:p w14:paraId="5F1411E6">
                  <w:pPr>
                    <w:jc w:val="center"/>
                    <w:rPr>
                      <w:color w:val="000000" w:themeColor="text1"/>
                      <w:szCs w:val="21"/>
                      <w:lang w:val="pt-BR"/>
                      <w14:textFill>
                        <w14:solidFill>
                          <w14:schemeClr w14:val="tx1"/>
                        </w14:solidFill>
                      </w14:textFill>
                    </w:rPr>
                  </w:pPr>
                  <w:r>
                    <w:rPr>
                      <w:color w:val="000000" w:themeColor="text1"/>
                      <w:szCs w:val="21"/>
                      <w14:textFill>
                        <w14:solidFill>
                          <w14:schemeClr w14:val="tx1"/>
                        </w14:solidFill>
                      </w14:textFill>
                    </w:rPr>
                    <w:t>水</w:t>
                  </w:r>
                </w:p>
              </w:tc>
              <w:tc>
                <w:tcPr>
                  <w:tcW w:w="1114" w:type="pct"/>
                  <w:vAlign w:val="center"/>
                </w:tcPr>
                <w:p w14:paraId="1FFF8896">
                  <w:pPr>
                    <w:jc w:val="center"/>
                    <w:rPr>
                      <w:color w:val="FF0000"/>
                      <w:szCs w:val="21"/>
                      <w:lang w:val="pt-BR"/>
                    </w:rPr>
                  </w:pPr>
                  <w:r>
                    <w:rPr>
                      <w:rFonts w:hint="eastAsia"/>
                      <w:szCs w:val="21"/>
                      <w:lang w:val="pt-BR"/>
                    </w:rPr>
                    <w:t>414t/a</w:t>
                  </w:r>
                </w:p>
              </w:tc>
              <w:tc>
                <w:tcPr>
                  <w:tcW w:w="1274" w:type="pct"/>
                  <w:vAlign w:val="center"/>
                </w:tcPr>
                <w:p w14:paraId="2927A8C7">
                  <w:pPr>
                    <w:jc w:val="center"/>
                    <w:rPr>
                      <w:szCs w:val="21"/>
                      <w:lang w:val="pt-BR"/>
                    </w:rPr>
                  </w:pPr>
                  <w:r>
                    <w:rPr>
                      <w:rFonts w:hint="eastAsia"/>
                      <w:szCs w:val="21"/>
                      <w:lang w:val="pt-BR"/>
                    </w:rPr>
                    <w:t>/</w:t>
                  </w:r>
                </w:p>
              </w:tc>
              <w:tc>
                <w:tcPr>
                  <w:tcW w:w="1264" w:type="pct"/>
                  <w:vAlign w:val="center"/>
                </w:tcPr>
                <w:p w14:paraId="71829C4D">
                  <w:pPr>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w:t>
                  </w:r>
                </w:p>
              </w:tc>
            </w:tr>
            <w:bookmarkEnd w:id="1"/>
          </w:tbl>
          <w:p w14:paraId="7736069F">
            <w:pPr>
              <w:pStyle w:val="28"/>
              <w:ind w:firstLine="480"/>
            </w:pPr>
            <w:r>
              <w:rPr>
                <w:rFonts w:hint="eastAsia"/>
              </w:rPr>
              <w:t>本项目原料废塑料皮与现有工程原料一致，主要成分为聚乙烯、聚丙烯（均为高分子聚合物），但塑料并不是一种纯物质，一般高分子聚合物占塑料成分的40％～99％，另外塑料中还包括一定量的增塑剂、润滑剂、抗氧化剂1010等添加剂。</w:t>
            </w:r>
          </w:p>
          <w:p w14:paraId="5B7C980E">
            <w:pPr>
              <w:pStyle w:val="28"/>
              <w:ind w:firstLine="482"/>
              <w:rPr>
                <w:b/>
                <w:bCs/>
              </w:rPr>
            </w:pPr>
            <w:r>
              <w:rPr>
                <w:rFonts w:hint="eastAsia"/>
                <w:b/>
                <w:bCs/>
              </w:rPr>
              <w:t>原料中主要成分的理化性质如下：</w:t>
            </w:r>
          </w:p>
          <w:p w14:paraId="4A2FBFCA">
            <w:pPr>
              <w:pStyle w:val="28"/>
              <w:ind w:firstLine="482"/>
            </w:pPr>
            <w:r>
              <w:rPr>
                <w:rFonts w:hint="eastAsia"/>
                <w:b/>
                <w:bCs/>
              </w:rPr>
              <w:t>聚乙烯（PE）</w:t>
            </w:r>
            <w:r>
              <w:rPr>
                <w:rFonts w:hint="eastAsia"/>
              </w:rPr>
              <w:t>：由乙烯聚合而成的高分子化合物，化学式：C</w:t>
            </w:r>
            <w:r>
              <w:rPr>
                <w:rFonts w:hint="eastAsia"/>
                <w:vertAlign w:val="subscript"/>
              </w:rPr>
              <w:t>n</w:t>
            </w:r>
            <w:r>
              <w:rPr>
                <w:rFonts w:hint="eastAsia"/>
              </w:rPr>
              <w:t>H</w:t>
            </w:r>
            <w:r>
              <w:rPr>
                <w:rFonts w:hint="eastAsia"/>
                <w:vertAlign w:val="subscript"/>
              </w:rPr>
              <w:t>2n</w:t>
            </w:r>
            <w:r>
              <w:rPr>
                <w:rFonts w:hint="eastAsia"/>
              </w:rPr>
              <w:t>，无臭，无毒，手感似蜡，化学稳定性好，能耐大多数酸碱的侵蚀；易燃烧且离火后能继续燃烧；吸水性小，可溶于某些有机溶剂（如二甲苯）；比重约0.94～0.96g/cm</w:t>
            </w:r>
            <w:r>
              <w:rPr>
                <w:rFonts w:hint="eastAsia"/>
                <w:vertAlign w:val="superscript"/>
              </w:rPr>
              <w:t>3</w:t>
            </w:r>
            <w:r>
              <w:rPr>
                <w:rFonts w:hint="eastAsia"/>
              </w:rPr>
              <w:t>，成型温度140-220℃，分解温度&gt;320℃。PE塑料主要用作农膜、工业用包装膜、药品与食品包装薄膜、电线等。PE塑料加工温度范围很宽，不易分解，分解过程中产生游离单体废气，主要成分为乙烯单体。聚乙烯本身并无毒性，但一般聚乙烯制品均添加了一些润滑剂、增塑剂等而具有一定的毒性。</w:t>
            </w:r>
          </w:p>
          <w:p w14:paraId="24DD97BA">
            <w:pPr>
              <w:pStyle w:val="28"/>
              <w:ind w:firstLine="480"/>
            </w:pPr>
            <w:r>
              <w:rPr>
                <w:rFonts w:hint="eastAsia"/>
              </w:rPr>
              <w:t>聚丙烯（PP）：由丙烯聚合而成的高分子化合物，化学式：(C</w:t>
            </w:r>
            <w:r>
              <w:rPr>
                <w:rFonts w:hint="eastAsia"/>
                <w:vertAlign w:val="subscript"/>
              </w:rPr>
              <w:t>3</w:t>
            </w:r>
            <w:r>
              <w:rPr>
                <w:rFonts w:hint="eastAsia"/>
              </w:rPr>
              <w:t>H</w:t>
            </w:r>
            <w:r>
              <w:rPr>
                <w:rFonts w:hint="eastAsia"/>
                <w:vertAlign w:val="subscript"/>
              </w:rPr>
              <w:t>6</w:t>
            </w:r>
            <w:r>
              <w:rPr>
                <w:rFonts w:hint="eastAsia"/>
              </w:rPr>
              <w:t>)n。通常为半透明无色固体，无臭、无毒。比重为0.9-0.91g/cm</w:t>
            </w:r>
            <w:r>
              <w:rPr>
                <w:rFonts w:hint="eastAsia"/>
                <w:vertAlign w:val="superscript"/>
              </w:rPr>
              <w:t>3</w:t>
            </w:r>
            <w:r>
              <w:rPr>
                <w:rFonts w:hint="eastAsia"/>
              </w:rPr>
              <w:t>，密度为0.90g/cm</w:t>
            </w:r>
            <w:r>
              <w:rPr>
                <w:rFonts w:hint="eastAsia"/>
                <w:vertAlign w:val="superscript"/>
              </w:rPr>
              <w:t>3</w:t>
            </w:r>
            <w:r>
              <w:rPr>
                <w:rFonts w:hint="eastAsia"/>
              </w:rPr>
              <w:t>，成型收缩率为1.0～2.5%，加工温度在200-300℃左右，抗张强度为30Mpa，有良好的热稳定性（分解温度为310℃）。由于聚丙烯的结构规整、结晶度较高、耐热、耐腐蚀，且强度、刚性和透明性均比聚乙烯好。是最轻的通用塑料之一。PP塑料主要用于：盆、桶、薄膜、编织袋、食品容器等制品。分解过程中会产生一些废气，主要为丙烯单体和一些添加剂。</w:t>
            </w:r>
          </w:p>
          <w:p w14:paraId="64129143">
            <w:pPr>
              <w:pStyle w:val="28"/>
              <w:ind w:firstLine="480"/>
            </w:pPr>
            <w:r>
              <w:rPr>
                <w:rFonts w:hint="eastAsia"/>
              </w:rPr>
              <w:t>润滑剂：润滑剂可以降低塑料薄膜之间、塑料薄膜与设备之间的摩擦力，使薄膜表面更为光滑，薄膜在包装机、覆膜机上的操作更为顺畅。常用的润滑剂有硬脂酸、石蜡或矿物油等，本次评价以硬脂酸计，用量约为塑料薄膜的0.3~1%。硬脂酸是含18个碳原子的饱和脂肪酸，是构成动、植物油脂的一种主要成分。分子式：C</w:t>
            </w:r>
            <w:r>
              <w:rPr>
                <w:rFonts w:hint="eastAsia"/>
                <w:vertAlign w:val="subscript"/>
              </w:rPr>
              <w:t>18</w:t>
            </w:r>
            <w:r>
              <w:rPr>
                <w:rFonts w:hint="eastAsia"/>
              </w:rPr>
              <w:t>H</w:t>
            </w:r>
            <w:r>
              <w:rPr>
                <w:rFonts w:hint="eastAsia"/>
                <w:vertAlign w:val="subscript"/>
              </w:rPr>
              <w:t>36</w:t>
            </w:r>
            <w:r>
              <w:rPr>
                <w:rFonts w:hint="eastAsia"/>
              </w:rPr>
              <w:t>O</w:t>
            </w:r>
            <w:r>
              <w:rPr>
                <w:rFonts w:hint="eastAsia"/>
                <w:vertAlign w:val="subscript"/>
              </w:rPr>
              <w:t>2</w:t>
            </w:r>
            <w:r>
              <w:rPr>
                <w:rFonts w:hint="eastAsia"/>
              </w:rPr>
              <w:t>；CH</w:t>
            </w:r>
            <w:r>
              <w:rPr>
                <w:rFonts w:hint="eastAsia"/>
                <w:vertAlign w:val="subscript"/>
              </w:rPr>
              <w:t>3</w:t>
            </w:r>
            <w:r>
              <w:rPr>
                <w:rFonts w:hint="eastAsia"/>
              </w:rPr>
              <w:t>(CH</w:t>
            </w:r>
            <w:r>
              <w:rPr>
                <w:rFonts w:hint="eastAsia"/>
                <w:vertAlign w:val="subscript"/>
              </w:rPr>
              <w:t>2</w:t>
            </w:r>
            <w:r>
              <w:rPr>
                <w:rFonts w:hint="eastAsia"/>
              </w:rPr>
              <w:t>)</w:t>
            </w:r>
            <w:r>
              <w:rPr>
                <w:rFonts w:hint="eastAsia"/>
                <w:vertAlign w:val="subscript"/>
              </w:rPr>
              <w:t>16</w:t>
            </w:r>
            <w:r>
              <w:rPr>
                <w:rFonts w:hint="eastAsia"/>
              </w:rPr>
              <w:t>COOH，纯品为白色略带光泽的蜡状小片结晶体，熔点：56℃~69.6℃，沸点：232℃（2.0kPa），闪点：220.6℃，自燃点：444.3℃，相对密度：0.94，无毒，不溶于水，溶于丙酮、苯、乙醚、氯仿等。在90-100℃下慢慢挥发。</w:t>
            </w:r>
          </w:p>
          <w:p w14:paraId="375B9740">
            <w:pPr>
              <w:pStyle w:val="28"/>
              <w:ind w:firstLine="480"/>
            </w:pPr>
            <w:r>
              <w:rPr>
                <w:rFonts w:hint="eastAsia"/>
              </w:rPr>
              <w:t>增塑剂：主要作用是削弱聚合物分子之间的范德华力，从而增加聚合物分子链的移动性，降低聚合物分子链的结晶性，表现为聚合物硬度、模量、软化温度和脆化温度的下降，以及伸长率、曲挠性和柔韧性的提高。常用的增塑剂为邻苯二甲酸二辛酯（DOP），分子式：C</w:t>
            </w:r>
            <w:r>
              <w:rPr>
                <w:rFonts w:hint="eastAsia"/>
                <w:vertAlign w:val="subscript"/>
              </w:rPr>
              <w:t>24</w:t>
            </w:r>
            <w:r>
              <w:rPr>
                <w:rFonts w:hint="eastAsia"/>
              </w:rPr>
              <w:t>H</w:t>
            </w:r>
            <w:r>
              <w:rPr>
                <w:rFonts w:hint="eastAsia"/>
                <w:vertAlign w:val="subscript"/>
              </w:rPr>
              <w:t>38</w:t>
            </w:r>
            <w:r>
              <w:rPr>
                <w:rFonts w:hint="eastAsia"/>
              </w:rPr>
              <w:t>O</w:t>
            </w:r>
            <w:r>
              <w:rPr>
                <w:rFonts w:hint="eastAsia"/>
                <w:vertAlign w:val="subscript"/>
              </w:rPr>
              <w:t>4</w:t>
            </w:r>
            <w:r>
              <w:rPr>
                <w:rFonts w:hint="eastAsia"/>
              </w:rPr>
              <w:t>，外观为无色油状液体，比重0.9861，熔点-55℃，沸点370℃（常压），不溶于水，溶于乙醇、乙醚、矿物油等大多数有机溶剂。工业级二辛酯有特殊气味，有刺激性，低毒，LD50＞13000mg/kg（小鼠经口），具有生殖毒性、致突变、致癌作用，会危害使用者的身体健康。</w:t>
            </w:r>
          </w:p>
          <w:p w14:paraId="0CA2E2D5">
            <w:pPr>
              <w:pStyle w:val="28"/>
              <w:ind w:firstLine="480"/>
            </w:pPr>
            <w:r>
              <w:rPr>
                <w:rFonts w:hint="eastAsia"/>
              </w:rPr>
              <w:t>抗氧化剂1010：化学名：四[</w:t>
            </w:r>
            <w:r>
              <w:t>β</w:t>
            </w:r>
            <w:r>
              <w:rPr>
                <w:rFonts w:hint="eastAsia"/>
              </w:rPr>
              <w:t>-（3，5-二叔丁基-4-羟基苯基）丙酸]季戊四醇酯，分子式C</w:t>
            </w:r>
            <w:r>
              <w:rPr>
                <w:rFonts w:hint="eastAsia"/>
                <w:vertAlign w:val="subscript"/>
              </w:rPr>
              <w:t>73</w:t>
            </w:r>
            <w:r>
              <w:rPr>
                <w:rFonts w:hint="eastAsia"/>
              </w:rPr>
              <w:t>H</w:t>
            </w:r>
            <w:r>
              <w:rPr>
                <w:rFonts w:hint="eastAsia"/>
                <w:vertAlign w:val="subscript"/>
              </w:rPr>
              <w:t>108</w:t>
            </w:r>
            <w:r>
              <w:rPr>
                <w:rFonts w:hint="eastAsia"/>
              </w:rPr>
              <w:t>O</w:t>
            </w:r>
            <w:r>
              <w:rPr>
                <w:rFonts w:hint="eastAsia"/>
                <w:vertAlign w:val="subscript"/>
              </w:rPr>
              <w:t>12</w:t>
            </w:r>
            <w:r>
              <w:rPr>
                <w:rFonts w:hint="eastAsia"/>
              </w:rPr>
              <w:t>，溶于苯、丙酮、氯仿，不溶于水。外观为白色结晶粉末，化学性状稳定，毒性极低，大鼠经口LD50&gt;5g/kg，是一种多元受阻酚型抗氧化剂，与大多数聚合物有很好的相容性，有良好的防止光和热引起的变色作用，挥发性小，耐抽出性好，广泛应用于聚乙烯、聚丙烯、ABS树脂、PS树脂、工程塑料、橡胶及石油产品中，对聚丙烯、聚乙烯有卓越的抗氧化性能。可有效延长制品的使用期限。一般用量为0.1%～0.5%。</w:t>
            </w:r>
          </w:p>
          <w:p w14:paraId="29365C50">
            <w:pPr>
              <w:pStyle w:val="90"/>
              <w:ind w:firstLine="482"/>
              <w:rPr>
                <w:color w:val="auto"/>
              </w:rPr>
            </w:pPr>
            <w:r>
              <w:rPr>
                <w:color w:val="auto"/>
              </w:rPr>
              <w:t>6、项目水平衡图</w:t>
            </w:r>
          </w:p>
          <w:p w14:paraId="25803185">
            <w:pPr>
              <w:pStyle w:val="19"/>
              <w:ind w:left="0" w:leftChars="0" w:firstLine="0" w:firstLineChars="0"/>
              <w:jc w:val="center"/>
              <w:rPr>
                <w:lang w:val="pt-BR"/>
              </w:rPr>
            </w:pPr>
            <w:r>
              <w:rPr>
                <w:rFonts w:hint="eastAsia"/>
              </w:rPr>
              <w:object>
                <v:shape id="_x0000_i1025" o:spt="75" type="#_x0000_t75" style="height:270pt;width:441.7pt;" o:ole="t" filled="f" o:preferrelative="t" stroked="f" coordsize="21600,21600">
                  <v:path/>
                  <v:fill on="f" focussize="0,0"/>
                  <v:stroke on="f"/>
                  <v:imagedata r:id="rId20" o:title=""/>
                  <o:lock v:ext="edit" aspectratio="t"/>
                  <w10:wrap type="none"/>
                  <w10:anchorlock/>
                </v:shape>
                <o:OLEObject Type="Embed" ProgID="Visio.Drawing.15" ShapeID="_x0000_i1025" DrawAspect="Content" ObjectID="_1468075725" r:id="rId19">
                  <o:LockedField>false</o:LockedField>
                </o:OLEObject>
              </w:object>
            </w:r>
          </w:p>
          <w:p w14:paraId="41F88798">
            <w:pPr>
              <w:pStyle w:val="92"/>
              <w:rPr>
                <w:lang w:val="pt-BR"/>
              </w:rPr>
            </w:pPr>
            <w:r>
              <w:rPr>
                <w:lang w:val="pt-BR"/>
              </w:rPr>
              <w:t>图3  本项目水平衡图  单位：m</w:t>
            </w:r>
            <w:r>
              <w:rPr>
                <w:vertAlign w:val="superscript"/>
                <w:lang w:val="pt-BR"/>
              </w:rPr>
              <w:t>3</w:t>
            </w:r>
            <w:r>
              <w:rPr>
                <w:lang w:val="pt-BR"/>
              </w:rPr>
              <w:t>/</w:t>
            </w:r>
            <w:r>
              <w:rPr>
                <w:rFonts w:hint="eastAsia"/>
                <w:lang w:val="pt-BR"/>
              </w:rPr>
              <w:t>d</w:t>
            </w:r>
          </w:p>
          <w:p w14:paraId="4990E691">
            <w:pPr>
              <w:pStyle w:val="90"/>
              <w:ind w:firstLine="482"/>
              <w:rPr>
                <w:lang w:val="pt-BR"/>
              </w:rPr>
            </w:pPr>
            <w:r>
              <w:rPr>
                <w:rFonts w:eastAsia="黑体"/>
                <w:lang w:val="pt-BR"/>
              </w:rPr>
              <w:t>7</w:t>
            </w:r>
            <w:r>
              <w:rPr>
                <w:rFonts w:eastAsia="黑体"/>
              </w:rPr>
              <w:t>、</w:t>
            </w:r>
            <w:r>
              <w:t>厂区平面布置简述</w:t>
            </w:r>
          </w:p>
          <w:p w14:paraId="56EA1CF8">
            <w:pPr>
              <w:pStyle w:val="28"/>
              <w:ind w:firstLine="480"/>
            </w:pPr>
            <w:r>
              <w:t>本项目选址位于</w:t>
            </w:r>
            <w:r>
              <w:rPr>
                <w:rFonts w:hint="eastAsia"/>
              </w:rPr>
              <w:t>河南省新乡市获嘉县仁爱路与新华街南段交叉口西北产业集聚区二期1号</w:t>
            </w:r>
            <w:r>
              <w:t>，根据企业提供的厂区总平面布置图</w:t>
            </w:r>
            <w:r>
              <w:rPr>
                <w:rFonts w:hint="eastAsia"/>
              </w:rPr>
              <w:t>（见附图五）</w:t>
            </w:r>
            <w:r>
              <w:t>，厂区的平面布置较为合理，主要体现在以下几个方面：</w:t>
            </w:r>
          </w:p>
          <w:p w14:paraId="6E663D31">
            <w:pPr>
              <w:pStyle w:val="28"/>
              <w:ind w:firstLine="480"/>
            </w:pPr>
            <w:r>
              <w:t>（1）设计</w:t>
            </w:r>
            <w:r>
              <w:rPr>
                <w:rFonts w:hint="eastAsia"/>
              </w:rPr>
              <w:t>生产</w:t>
            </w:r>
            <w:r>
              <w:t>区和办公区完全</w:t>
            </w:r>
            <w:r>
              <w:rPr>
                <w:rFonts w:hint="eastAsia"/>
              </w:rPr>
              <w:t>独立</w:t>
            </w:r>
            <w:r>
              <w:t>，</w:t>
            </w:r>
            <w:r>
              <w:rPr>
                <w:rFonts w:hint="eastAsia"/>
              </w:rPr>
              <w:t>生产</w:t>
            </w:r>
            <w:r>
              <w:t>区设置在</w:t>
            </w:r>
            <w:r>
              <w:rPr>
                <w:rFonts w:hint="eastAsia"/>
              </w:rPr>
              <w:t>办公区西</w:t>
            </w:r>
            <w:r>
              <w:t>侧，办公区设置在</w:t>
            </w:r>
            <w:r>
              <w:rPr>
                <w:rFonts w:hint="eastAsia"/>
              </w:rPr>
              <w:t>生产区</w:t>
            </w:r>
            <w:r>
              <w:t>的</w:t>
            </w:r>
            <w:r>
              <w:rPr>
                <w:rFonts w:hint="eastAsia"/>
              </w:rPr>
              <w:t>东</w:t>
            </w:r>
            <w:r>
              <w:t>侧，分区布置合理有利于物流和人流的管理；</w:t>
            </w:r>
          </w:p>
          <w:p w14:paraId="63467E9B">
            <w:pPr>
              <w:pStyle w:val="28"/>
              <w:ind w:firstLine="480"/>
            </w:pPr>
            <w:r>
              <w:t>（2）项目根据工艺流程和设备运转要求，按照工艺运转顺序和安全</w:t>
            </w:r>
            <w:r>
              <w:rPr>
                <w:rFonts w:hint="eastAsia"/>
              </w:rPr>
              <w:t>生产</w:t>
            </w:r>
            <w:r>
              <w:t>的需要布置</w:t>
            </w:r>
            <w:r>
              <w:rPr>
                <w:rFonts w:hint="eastAsia"/>
              </w:rPr>
              <w:t>生产</w:t>
            </w:r>
            <w:r>
              <w:t>装置，工艺流程顺畅，布局紧凑。总体上办公区、</w:t>
            </w:r>
            <w:r>
              <w:rPr>
                <w:rFonts w:hint="eastAsia"/>
              </w:rPr>
              <w:t>生产</w:t>
            </w:r>
            <w:r>
              <w:t>区功能分区明确、布局合理。</w:t>
            </w:r>
          </w:p>
        </w:tc>
      </w:tr>
      <w:tr w14:paraId="0ECD1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56" w:type="dxa"/>
            <w:vAlign w:val="center"/>
          </w:tcPr>
          <w:p w14:paraId="51623707">
            <w:pPr>
              <w:pStyle w:val="15"/>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748" w:type="dxa"/>
          </w:tcPr>
          <w:p w14:paraId="3FE5EC06">
            <w:pPr>
              <w:pStyle w:val="28"/>
              <w:ind w:firstLine="482"/>
              <w:rPr>
                <w:b/>
                <w:bCs/>
              </w:rPr>
            </w:pPr>
            <w:r>
              <w:rPr>
                <w:b/>
                <w:bCs/>
              </w:rPr>
              <w:t>一、</w:t>
            </w:r>
            <w:r>
              <w:rPr>
                <w:rFonts w:hint="eastAsia"/>
                <w:b/>
                <w:bCs/>
              </w:rPr>
              <w:t>生产工艺</w:t>
            </w:r>
            <w:r>
              <w:rPr>
                <w:b/>
                <w:bCs/>
              </w:rPr>
              <w:t>流程简述（图示）：</w:t>
            </w:r>
          </w:p>
          <w:p w14:paraId="729C6BE8">
            <w:pPr>
              <w:pStyle w:val="28"/>
              <w:ind w:firstLine="480"/>
            </w:pPr>
            <w:r>
              <w:rPr>
                <w:rFonts w:hint="eastAsia"/>
              </w:rPr>
              <w:t>本项目生产工艺流程图如下：</w:t>
            </w:r>
          </w:p>
          <w:p w14:paraId="75E4994A">
            <w:pPr>
              <w:adjustRightInd w:val="0"/>
              <w:snapToGrid w:val="0"/>
              <w:jc w:val="center"/>
              <w:rPr>
                <w:color w:val="000000" w:themeColor="text1"/>
                <w14:textFill>
                  <w14:solidFill>
                    <w14:schemeClr w14:val="tx1"/>
                  </w14:solidFill>
                </w14:textFill>
              </w:rPr>
            </w:pPr>
            <w:r>
              <w:object>
                <v:shape id="_x0000_i1026" o:spt="75" type="#_x0000_t75" style="height:403.4pt;width:158.3pt;" o:ole="t" filled="f" o:preferrelative="t" stroked="f" coordsize="21600,21600">
                  <v:path/>
                  <v:fill on="f" focussize="0,0"/>
                  <v:stroke on="f"/>
                  <v:imagedata r:id="rId22" o:title=""/>
                  <o:lock v:ext="edit" aspectratio="t"/>
                  <w10:wrap type="none"/>
                  <w10:anchorlock/>
                </v:shape>
                <o:OLEObject Type="Embed" ProgID="Visio.Drawing.15" ShapeID="_x0000_i1026" DrawAspect="Content" ObjectID="_1468075726" r:id="rId21">
                  <o:LockedField>false</o:LockedField>
                </o:OLEObject>
              </w:object>
            </w:r>
          </w:p>
          <w:p w14:paraId="02AC3B91">
            <w:pPr>
              <w:adjustRightInd w:val="0"/>
              <w:snapToGrid w:val="0"/>
              <w:spacing w:line="360" w:lineRule="auto"/>
              <w:ind w:firstLine="422" w:firstLineChars="200"/>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注</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G：废气；</w:t>
            </w:r>
            <w:r>
              <w:rPr>
                <w:rFonts w:hint="eastAsia"/>
                <w:b/>
                <w:bCs/>
                <w:color w:val="000000" w:themeColor="text1"/>
                <w:szCs w:val="21"/>
                <w14:textFill>
                  <w14:solidFill>
                    <w14:schemeClr w14:val="tx1"/>
                  </w14:solidFill>
                </w14:textFill>
              </w:rPr>
              <w:t>W：废水；</w:t>
            </w:r>
            <w:r>
              <w:rPr>
                <w:b/>
                <w:bCs/>
                <w:color w:val="000000" w:themeColor="text1"/>
                <w:szCs w:val="21"/>
                <w14:textFill>
                  <w14:solidFill>
                    <w14:schemeClr w14:val="tx1"/>
                  </w14:solidFill>
                </w14:textFill>
              </w:rPr>
              <w:t>N：噪声；S：固废</w:t>
            </w:r>
          </w:p>
          <w:p w14:paraId="032A140D">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图4  </w:t>
            </w:r>
            <w:r>
              <w:rPr>
                <w:rFonts w:hint="eastAsia"/>
                <w:b/>
                <w:bCs/>
                <w:color w:val="000000" w:themeColor="text1"/>
                <w:sz w:val="24"/>
                <w14:textFill>
                  <w14:solidFill>
                    <w14:schemeClr w14:val="tx1"/>
                  </w14:solidFill>
                </w14:textFill>
              </w:rPr>
              <w:t>本项目生产工艺</w:t>
            </w:r>
            <w:r>
              <w:rPr>
                <w:b/>
                <w:bCs/>
                <w:color w:val="000000" w:themeColor="text1"/>
                <w:sz w:val="24"/>
                <w14:textFill>
                  <w14:solidFill>
                    <w14:schemeClr w14:val="tx1"/>
                  </w14:solidFill>
                </w14:textFill>
              </w:rPr>
              <w:t>及产污环节流程图</w:t>
            </w:r>
          </w:p>
          <w:p w14:paraId="004FFB36">
            <w:pPr>
              <w:spacing w:line="46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生产</w:t>
            </w:r>
            <w:r>
              <w:rPr>
                <w:bCs/>
                <w:color w:val="000000" w:themeColor="text1"/>
                <w:sz w:val="24"/>
                <w14:textFill>
                  <w14:solidFill>
                    <w14:schemeClr w14:val="tx1"/>
                  </w14:solidFill>
                </w14:textFill>
              </w:rPr>
              <w:t>工艺详细说明如下：</w:t>
            </w:r>
          </w:p>
          <w:p w14:paraId="5DDBC8BE">
            <w:pPr>
              <w:pStyle w:val="28"/>
              <w:ind w:firstLine="480"/>
              <w:rPr>
                <w:bCs/>
              </w:rPr>
            </w:pPr>
            <w:r>
              <w:rPr>
                <w:rFonts w:hint="eastAsia"/>
                <w:bCs/>
              </w:rPr>
              <w:t>（1）破碎：本项目原料废塑料皮进厂后存放于密闭车间原料区内，废塑料皮直接投放至密闭式输送皮带的进料口，运输至破碎机内进行湿法粉碎，通过剪切、挤压的作用，将废旧塑料粉碎成3-5cm大小的碎片，粉碎后的塑料碎片由密闭输送皮带送至清洗工序清洗。该工艺为湿法物理粉碎，破碎过程中基本无粉尘产生，破碎工序会产生噪声。</w:t>
            </w:r>
          </w:p>
          <w:p w14:paraId="61E35045">
            <w:pPr>
              <w:pStyle w:val="28"/>
              <w:ind w:firstLine="480"/>
              <w:rPr>
                <w:bCs/>
              </w:rPr>
            </w:pPr>
            <w:r>
              <w:rPr>
                <w:rFonts w:hint="eastAsia"/>
                <w:bCs/>
              </w:rPr>
              <w:t>（2）清洗：清洗机组包括喂料机、清洗水槽。本项目清洗过程不添加化学清洗剂，仅采用水洗，目的是为了去除物料表面的杂质。废塑料经喂料机送入清洗机内，清洗机置有带爪的推料杆，废塑料在推料杆的作用下，不断翻滚、移动至水槽末端，由末端的捞料机捞出。带爪的推料杆能将物料搅拌翻滚，起到了很好的漂洗效果，并能快速传送物料，使洗料速度大大加快，废塑料皮在推动的过程中经碰撞摩擦作用达到清洗的目的。清洗机在密闭状态下运行，物料均通过密闭皮带传送。清洗工序会产生废水，清洗机出水口经管道与厂内一体化污水处理站相连，清洗废水经厂内一体化污水处理站处理后部分回用于清洗工序，其余部分经管网排入获嘉县香山家园污水处理厂进一步处理。该工序会产生废水、噪声。</w:t>
            </w:r>
          </w:p>
          <w:p w14:paraId="4644FC67">
            <w:pPr>
              <w:pStyle w:val="28"/>
              <w:ind w:firstLine="480"/>
              <w:rPr>
                <w:bCs/>
              </w:rPr>
            </w:pPr>
            <w:r>
              <w:rPr>
                <w:rFonts w:hint="eastAsia"/>
                <w:bCs/>
              </w:rPr>
              <w:t>（3）甩干：清洗后的物料经皮带输送入甩干机，甩去塑料表面的水分，物料被截留在滚筒内，甩出的水分经设备自带的收集系统收集后经甩干机出口排入厂内一体化污水处理站处理。该工序会产生废水、噪声。</w:t>
            </w:r>
          </w:p>
          <w:p w14:paraId="467A2A5D">
            <w:pPr>
              <w:pStyle w:val="28"/>
              <w:ind w:firstLine="480"/>
              <w:rPr>
                <w:bCs/>
              </w:rPr>
            </w:pPr>
            <w:r>
              <w:rPr>
                <w:rFonts w:hint="eastAsia"/>
                <w:bCs/>
              </w:rPr>
              <w:t>（4）熔融挤出：甩干后的物料通过密闭输送机送入挤出机进行挤出，挤出机采用电加热方式，温度控制在180-220℃，塑料碎片进入挤出机后由旋转的螺杆将原料向前推进进入机筒，塑料经机筒内电加热熔融、挤出成条状。挤出机需定期更换过滤网，该工序会产生废气、固废、噪声。</w:t>
            </w:r>
          </w:p>
          <w:p w14:paraId="4963B927">
            <w:pPr>
              <w:pStyle w:val="28"/>
              <w:ind w:firstLine="480"/>
              <w:rPr>
                <w:bCs/>
              </w:rPr>
            </w:pPr>
            <w:r>
              <w:rPr>
                <w:rFonts w:hint="eastAsia"/>
                <w:bCs/>
              </w:rPr>
              <w:t>（5）冷却、切粒：挤出的塑料条浸入到冷却水槽中，使其温度逐渐下降，硬度逐渐增加，冷却后的塑料条送入切粒机，切制成4mm×5mm的颗粒。冷却过程中水与塑料条不发生化学反应，仅会挥发散失，需定期补充，长时间使用后冷却水中盐分过高，需重新更换冷却水，冷却废水为清净下水，直接回用于清洗工序。该工序会产生废水、噪声、固废。</w:t>
            </w:r>
          </w:p>
          <w:p w14:paraId="6A29C4FB">
            <w:pPr>
              <w:pStyle w:val="28"/>
              <w:ind w:firstLine="480"/>
              <w:rPr>
                <w:bCs/>
              </w:rPr>
            </w:pPr>
            <w:r>
              <w:rPr>
                <w:rFonts w:hint="eastAsia"/>
                <w:bCs/>
              </w:rPr>
              <w:t>（6）包装：成品经切粒机出口送入储料仓内暂存，经包装机包装后放入密闭车间成品区内待售。</w:t>
            </w:r>
          </w:p>
          <w:p w14:paraId="28103013">
            <w:pPr>
              <w:pStyle w:val="28"/>
              <w:ind w:firstLine="482"/>
              <w:rPr>
                <w:b/>
                <w:bCs/>
              </w:rPr>
            </w:pPr>
            <w:r>
              <w:rPr>
                <w:b/>
                <w:bCs/>
              </w:rPr>
              <w:t>二、主要污染工序</w:t>
            </w:r>
          </w:p>
          <w:p w14:paraId="04BC90C6">
            <w:pPr>
              <w:pStyle w:val="28"/>
              <w:ind w:firstLine="480"/>
            </w:pPr>
            <w:r>
              <w:t>本项目营运期主要污染物、产污环节及防治措施详见下表。</w:t>
            </w:r>
          </w:p>
          <w:p w14:paraId="207C8B87">
            <w:pPr>
              <w:pStyle w:val="67"/>
              <w:ind w:firstLine="480"/>
            </w:pPr>
            <w:r>
              <w:t xml:space="preserve">                项目营运期产污环节一览表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949"/>
              <w:gridCol w:w="1882"/>
              <w:gridCol w:w="4054"/>
            </w:tblGrid>
            <w:tr w14:paraId="747795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38DABF9E">
                  <w:pPr>
                    <w:pStyle w:val="86"/>
                    <w:rPr>
                      <w:b/>
                      <w:bCs w:val="0"/>
                    </w:rPr>
                  </w:pPr>
                  <w:r>
                    <w:rPr>
                      <w:b/>
                      <w:bCs w:val="0"/>
                    </w:rPr>
                    <w:t>污染因素</w:t>
                  </w:r>
                </w:p>
              </w:tc>
              <w:tc>
                <w:tcPr>
                  <w:tcW w:w="1142" w:type="pct"/>
                  <w:vAlign w:val="center"/>
                </w:tcPr>
                <w:p w14:paraId="3AF5E9CA">
                  <w:pPr>
                    <w:pStyle w:val="86"/>
                    <w:rPr>
                      <w:b/>
                      <w:bCs w:val="0"/>
                    </w:rPr>
                  </w:pPr>
                  <w:r>
                    <w:rPr>
                      <w:b/>
                      <w:bCs w:val="0"/>
                    </w:rPr>
                    <w:t>产污环节</w:t>
                  </w:r>
                </w:p>
              </w:tc>
              <w:tc>
                <w:tcPr>
                  <w:tcW w:w="1103" w:type="pct"/>
                  <w:vAlign w:val="center"/>
                </w:tcPr>
                <w:p w14:paraId="0716B89D">
                  <w:pPr>
                    <w:pStyle w:val="86"/>
                    <w:rPr>
                      <w:b/>
                      <w:bCs w:val="0"/>
                    </w:rPr>
                  </w:pPr>
                  <w:r>
                    <w:rPr>
                      <w:b/>
                      <w:bCs w:val="0"/>
                    </w:rPr>
                    <w:t>污染物</w:t>
                  </w:r>
                </w:p>
              </w:tc>
              <w:tc>
                <w:tcPr>
                  <w:tcW w:w="2376" w:type="pct"/>
                  <w:vAlign w:val="center"/>
                </w:tcPr>
                <w:p w14:paraId="0DB5046E">
                  <w:pPr>
                    <w:pStyle w:val="86"/>
                    <w:rPr>
                      <w:b/>
                      <w:bCs w:val="0"/>
                    </w:rPr>
                  </w:pPr>
                  <w:r>
                    <w:rPr>
                      <w:b/>
                      <w:bCs w:val="0"/>
                    </w:rPr>
                    <w:t>防治措施</w:t>
                  </w:r>
                </w:p>
              </w:tc>
            </w:tr>
            <w:tr w14:paraId="7E1EF8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2AB209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142" w:type="pct"/>
                  <w:vAlign w:val="center"/>
                </w:tcPr>
                <w:p w14:paraId="0B1B0A1E">
                  <w:pPr>
                    <w:pStyle w:val="86"/>
                    <w:rPr>
                      <w:color w:val="FF0000"/>
                    </w:rPr>
                  </w:pPr>
                  <w:r>
                    <w:rPr>
                      <w:rFonts w:hint="eastAsia"/>
                    </w:rPr>
                    <w:t>熔融挤出</w:t>
                  </w:r>
                </w:p>
              </w:tc>
              <w:tc>
                <w:tcPr>
                  <w:tcW w:w="1103" w:type="pct"/>
                  <w:vAlign w:val="center"/>
                </w:tcPr>
                <w:p w14:paraId="275FD726">
                  <w:pPr>
                    <w:pStyle w:val="86"/>
                    <w:rPr>
                      <w:color w:val="FF0000"/>
                      <w:spacing w:val="-4"/>
                      <w:szCs w:val="21"/>
                    </w:rPr>
                  </w:pPr>
                  <w:r>
                    <w:rPr>
                      <w:rFonts w:hint="eastAsia"/>
                    </w:rPr>
                    <w:t>非甲烷总烃</w:t>
                  </w:r>
                </w:p>
              </w:tc>
              <w:tc>
                <w:tcPr>
                  <w:tcW w:w="2376" w:type="pct"/>
                  <w:vAlign w:val="center"/>
                </w:tcPr>
                <w:p w14:paraId="43AA7A34">
                  <w:pPr>
                    <w:pStyle w:val="86"/>
                    <w:rPr>
                      <w:szCs w:val="21"/>
                    </w:rPr>
                  </w:pPr>
                  <w:r>
                    <w:rPr>
                      <w:rFonts w:hint="eastAsia"/>
                      <w:szCs w:val="21"/>
                    </w:rPr>
                    <w:t>集气罩+“工业高压静电油烟净化装置+活性炭吸附/脱附-催化燃烧装置”（T</w:t>
                  </w:r>
                  <w:r>
                    <w:rPr>
                      <w:szCs w:val="21"/>
                    </w:rPr>
                    <w:t>A002</w:t>
                  </w:r>
                  <w:r>
                    <w:rPr>
                      <w:rFonts w:hint="eastAsia"/>
                      <w:szCs w:val="21"/>
                    </w:rPr>
                    <w:t>）+</w:t>
                  </w:r>
                  <w:r>
                    <w:rPr>
                      <w:szCs w:val="21"/>
                    </w:rPr>
                    <w:t>15</w:t>
                  </w:r>
                  <w:r>
                    <w:rPr>
                      <w:rFonts w:hint="eastAsia"/>
                      <w:szCs w:val="21"/>
                    </w:rPr>
                    <w:t>m高排气筒（D</w:t>
                  </w:r>
                  <w:r>
                    <w:rPr>
                      <w:szCs w:val="21"/>
                    </w:rPr>
                    <w:t>A002</w:t>
                  </w:r>
                  <w:r>
                    <w:rPr>
                      <w:rFonts w:hint="eastAsia"/>
                      <w:szCs w:val="21"/>
                    </w:rPr>
                    <w:t>）</w:t>
                  </w:r>
                </w:p>
              </w:tc>
            </w:tr>
            <w:tr w14:paraId="382EBE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Merge w:val="restart"/>
                  <w:vAlign w:val="center"/>
                </w:tcPr>
                <w:p w14:paraId="785DC5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142" w:type="pct"/>
                  <w:vAlign w:val="center"/>
                </w:tcPr>
                <w:p w14:paraId="407945D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1103" w:type="pct"/>
                  <w:vAlign w:val="center"/>
                </w:tcPr>
                <w:p w14:paraId="077884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N</w:t>
                  </w:r>
                </w:p>
              </w:tc>
              <w:tc>
                <w:tcPr>
                  <w:tcW w:w="2376" w:type="pct"/>
                  <w:vMerge w:val="restart"/>
                  <w:vAlign w:val="center"/>
                </w:tcPr>
                <w:p w14:paraId="357081C2">
                  <w:pPr>
                    <w:pStyle w:val="86"/>
                    <w:rPr>
                      <w:color w:val="000000" w:themeColor="text1"/>
                      <w14:textFill>
                        <w14:solidFill>
                          <w14:schemeClr w14:val="tx1"/>
                        </w14:solidFill>
                      </w14:textFill>
                    </w:rPr>
                  </w:pPr>
                  <w:r>
                    <w:rPr>
                      <w:rFonts w:hint="eastAsia"/>
                    </w:rPr>
                    <w:t>生活污水经化粪池处理，</w:t>
                  </w:r>
                  <w:r>
                    <w:rPr>
                      <w:rFonts w:hint="eastAsia"/>
                      <w:color w:val="000000" w:themeColor="text1"/>
                      <w14:textFill>
                        <w14:solidFill>
                          <w14:schemeClr w14:val="tx1"/>
                        </w14:solidFill>
                      </w14:textFill>
                    </w:rPr>
                    <w:t>生产废水</w:t>
                  </w:r>
                  <w:r>
                    <w:rPr>
                      <w:rFonts w:hint="eastAsia"/>
                    </w:rPr>
                    <w:t>经厂内一体化污水处理站处理，共同经管网排入获嘉县香山家园污水处理厂进一步处理。</w:t>
                  </w:r>
                </w:p>
              </w:tc>
            </w:tr>
            <w:tr w14:paraId="681F1E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Merge w:val="continue"/>
                  <w:vAlign w:val="center"/>
                </w:tcPr>
                <w:p w14:paraId="7455CC76">
                  <w:pPr>
                    <w:jc w:val="center"/>
                    <w:rPr>
                      <w:color w:val="000000" w:themeColor="text1"/>
                      <w:szCs w:val="21"/>
                      <w14:textFill>
                        <w14:solidFill>
                          <w14:schemeClr w14:val="tx1"/>
                        </w14:solidFill>
                      </w14:textFill>
                    </w:rPr>
                  </w:pPr>
                </w:p>
              </w:tc>
              <w:tc>
                <w:tcPr>
                  <w:tcW w:w="1142" w:type="pct"/>
                  <w:vAlign w:val="center"/>
                </w:tcPr>
                <w:p w14:paraId="1A91AE0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w:t>
                  </w:r>
                </w:p>
              </w:tc>
              <w:tc>
                <w:tcPr>
                  <w:tcW w:w="1103" w:type="pct"/>
                  <w:vAlign w:val="center"/>
                </w:tcPr>
                <w:p w14:paraId="61CCF57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、N</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N</w:t>
                  </w:r>
                </w:p>
              </w:tc>
              <w:tc>
                <w:tcPr>
                  <w:tcW w:w="2376" w:type="pct"/>
                  <w:vMerge w:val="continue"/>
                  <w:vAlign w:val="center"/>
                </w:tcPr>
                <w:p w14:paraId="0EF1AA4E">
                  <w:pPr>
                    <w:pStyle w:val="86"/>
                  </w:pPr>
                </w:p>
              </w:tc>
            </w:tr>
            <w:tr w14:paraId="4C9DCD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0CD53B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142" w:type="pct"/>
                  <w:vAlign w:val="center"/>
                </w:tcPr>
                <w:p w14:paraId="6B559C56">
                  <w:pPr>
                    <w:jc w:val="center"/>
                    <w:rPr>
                      <w:color w:val="000000" w:themeColor="text1"/>
                      <w:szCs w:val="21"/>
                      <w14:textFill>
                        <w14:solidFill>
                          <w14:schemeClr w14:val="tx1"/>
                        </w14:solidFill>
                      </w14:textFill>
                    </w:rPr>
                  </w:pPr>
                  <w:r>
                    <w:rPr>
                      <w:rFonts w:hint="eastAsia"/>
                      <w:color w:val="000000" w:themeColor="text1"/>
                      <w:szCs w:val="21"/>
                      <w:lang w:val="pt-BR"/>
                      <w14:textFill>
                        <w14:solidFill>
                          <w14:schemeClr w14:val="tx1"/>
                        </w14:solidFill>
                      </w14:textFill>
                    </w:rPr>
                    <w:t>破碎机、甩干机</w:t>
                  </w:r>
                  <w:r>
                    <w:rPr>
                      <w:color w:val="000000" w:themeColor="text1"/>
                      <w:szCs w:val="21"/>
                      <w:lang w:val="pt-BR"/>
                      <w14:textFill>
                        <w14:solidFill>
                          <w14:schemeClr w14:val="tx1"/>
                        </w14:solidFill>
                      </w14:textFill>
                    </w:rPr>
                    <w:t>等</w:t>
                  </w:r>
                  <w:r>
                    <w:rPr>
                      <w:rFonts w:hint="eastAsia"/>
                      <w:color w:val="000000" w:themeColor="text1"/>
                      <w:szCs w:val="21"/>
                      <w:lang w:val="pt-BR"/>
                      <w14:textFill>
                        <w14:solidFill>
                          <w14:schemeClr w14:val="tx1"/>
                        </w14:solidFill>
                      </w14:textFill>
                    </w:rPr>
                    <w:t>高噪声设备</w:t>
                  </w:r>
                </w:p>
              </w:tc>
              <w:tc>
                <w:tcPr>
                  <w:tcW w:w="1103" w:type="pct"/>
                  <w:vAlign w:val="center"/>
                </w:tcPr>
                <w:p w14:paraId="4E5B83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376" w:type="pct"/>
                  <w:vAlign w:val="center"/>
                </w:tcPr>
                <w:p w14:paraId="27E30E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基础减振、厂房隔声</w:t>
                  </w:r>
                </w:p>
              </w:tc>
            </w:tr>
            <w:tr w14:paraId="1D8246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Merge w:val="restart"/>
                  <w:vAlign w:val="center"/>
                </w:tcPr>
                <w:p w14:paraId="5CEEFD95">
                  <w:pPr>
                    <w:jc w:val="center"/>
                    <w:rPr>
                      <w:szCs w:val="21"/>
                    </w:rPr>
                  </w:pPr>
                  <w:r>
                    <w:rPr>
                      <w:szCs w:val="21"/>
                    </w:rPr>
                    <w:t>固废</w:t>
                  </w:r>
                </w:p>
              </w:tc>
              <w:tc>
                <w:tcPr>
                  <w:tcW w:w="1142" w:type="pct"/>
                  <w:vAlign w:val="center"/>
                </w:tcPr>
                <w:p w14:paraId="578331B7">
                  <w:pPr>
                    <w:pStyle w:val="86"/>
                  </w:pPr>
                  <w:r>
                    <w:rPr>
                      <w:rFonts w:hint="eastAsia" w:ascii="宋体" w:hAnsi="宋体"/>
                    </w:rPr>
                    <w:t>造粒工序</w:t>
                  </w:r>
                </w:p>
              </w:tc>
              <w:tc>
                <w:tcPr>
                  <w:tcW w:w="1103" w:type="pct"/>
                  <w:vAlign w:val="center"/>
                </w:tcPr>
                <w:p w14:paraId="5F172B98">
                  <w:pPr>
                    <w:pStyle w:val="86"/>
                  </w:pPr>
                  <w:r>
                    <w:rPr>
                      <w:rFonts w:hint="eastAsia" w:ascii="宋体" w:hAnsi="宋体"/>
                    </w:rPr>
                    <w:t>废边角料</w:t>
                  </w:r>
                </w:p>
              </w:tc>
              <w:tc>
                <w:tcPr>
                  <w:tcW w:w="2376" w:type="pct"/>
                  <w:vAlign w:val="center"/>
                </w:tcPr>
                <w:p w14:paraId="16F05890">
                  <w:pPr>
                    <w:jc w:val="center"/>
                    <w:rPr>
                      <w:color w:val="000000" w:themeColor="text1"/>
                      <w:szCs w:val="21"/>
                      <w14:textFill>
                        <w14:solidFill>
                          <w14:schemeClr w14:val="tx1"/>
                        </w14:solidFill>
                      </w14:textFill>
                    </w:rPr>
                  </w:pPr>
                  <w:r>
                    <w:rPr>
                      <w:rFonts w:hint="eastAsia" w:ascii="宋体" w:hAnsi="宋体"/>
                    </w:rPr>
                    <w:t>集中收集后回用于造粒工序</w:t>
                  </w:r>
                </w:p>
              </w:tc>
            </w:tr>
            <w:tr w14:paraId="10A1EC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Merge w:val="continue"/>
                  <w:vAlign w:val="center"/>
                </w:tcPr>
                <w:p w14:paraId="29E42DE6">
                  <w:pPr>
                    <w:jc w:val="center"/>
                    <w:rPr>
                      <w:szCs w:val="21"/>
                    </w:rPr>
                  </w:pPr>
                </w:p>
              </w:tc>
              <w:tc>
                <w:tcPr>
                  <w:tcW w:w="1142" w:type="pct"/>
                  <w:vAlign w:val="center"/>
                </w:tcPr>
                <w:p w14:paraId="31C1A633">
                  <w:pPr>
                    <w:pStyle w:val="86"/>
                  </w:pPr>
                  <w:r>
                    <w:rPr>
                      <w:rFonts w:hint="eastAsia" w:ascii="宋体" w:hAnsi="宋体"/>
                    </w:rPr>
                    <w:t>熔融挤出</w:t>
                  </w:r>
                </w:p>
              </w:tc>
              <w:tc>
                <w:tcPr>
                  <w:tcW w:w="1103" w:type="pct"/>
                  <w:vAlign w:val="center"/>
                </w:tcPr>
                <w:p w14:paraId="6D11BD9A">
                  <w:pPr>
                    <w:pStyle w:val="86"/>
                  </w:pPr>
                  <w:r>
                    <w:rPr>
                      <w:rFonts w:hint="eastAsia" w:ascii="宋体" w:hAnsi="宋体"/>
                    </w:rPr>
                    <w:t>废滤网</w:t>
                  </w:r>
                </w:p>
              </w:tc>
              <w:tc>
                <w:tcPr>
                  <w:tcW w:w="2376" w:type="pct"/>
                  <w:vAlign w:val="center"/>
                </w:tcPr>
                <w:p w14:paraId="5CA3BD4C">
                  <w:pPr>
                    <w:jc w:val="center"/>
                    <w:rPr>
                      <w:color w:val="000000" w:themeColor="text1"/>
                      <w:szCs w:val="21"/>
                      <w14:textFill>
                        <w14:solidFill>
                          <w14:schemeClr w14:val="tx1"/>
                        </w14:solidFill>
                      </w14:textFill>
                    </w:rPr>
                  </w:pPr>
                  <w:r>
                    <w:rPr>
                      <w:rFonts w:hint="eastAsia" w:ascii="宋体" w:hAnsi="宋体"/>
                    </w:rPr>
                    <w:t>一般固废暂存间暂存后，定期委托有处理能力且符合环保要求的企业进行处理</w:t>
                  </w:r>
                </w:p>
              </w:tc>
            </w:tr>
            <w:tr w14:paraId="0CCD24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Merge w:val="continue"/>
                  <w:vAlign w:val="center"/>
                </w:tcPr>
                <w:p w14:paraId="2EF2D15D">
                  <w:pPr>
                    <w:jc w:val="center"/>
                    <w:rPr>
                      <w:szCs w:val="21"/>
                    </w:rPr>
                  </w:pPr>
                </w:p>
              </w:tc>
              <w:tc>
                <w:tcPr>
                  <w:tcW w:w="1142" w:type="pct"/>
                  <w:vAlign w:val="center"/>
                </w:tcPr>
                <w:p w14:paraId="3456A7A4">
                  <w:pPr>
                    <w:pStyle w:val="86"/>
                  </w:pPr>
                  <w:r>
                    <w:rPr>
                      <w:rFonts w:hint="eastAsia" w:ascii="宋体" w:hAnsi="宋体"/>
                    </w:rPr>
                    <w:t>污水处理站</w:t>
                  </w:r>
                </w:p>
              </w:tc>
              <w:tc>
                <w:tcPr>
                  <w:tcW w:w="1103" w:type="pct"/>
                  <w:vAlign w:val="center"/>
                </w:tcPr>
                <w:p w14:paraId="7B6A03A9">
                  <w:pPr>
                    <w:pStyle w:val="86"/>
                  </w:pPr>
                  <w:r>
                    <w:rPr>
                      <w:rFonts w:hint="eastAsia" w:ascii="宋体" w:hAnsi="宋体"/>
                    </w:rPr>
                    <w:t>污泥</w:t>
                  </w:r>
                </w:p>
              </w:tc>
              <w:tc>
                <w:tcPr>
                  <w:tcW w:w="2376" w:type="pct"/>
                  <w:vAlign w:val="center"/>
                </w:tcPr>
                <w:p w14:paraId="2D1B565E">
                  <w:pPr>
                    <w:jc w:val="center"/>
                    <w:rPr>
                      <w:color w:val="000000" w:themeColor="text1"/>
                      <w:szCs w:val="21"/>
                      <w14:textFill>
                        <w14:solidFill>
                          <w14:schemeClr w14:val="tx1"/>
                        </w14:solidFill>
                      </w14:textFill>
                    </w:rPr>
                  </w:pPr>
                  <w:r>
                    <w:rPr>
                      <w:rFonts w:hint="eastAsia" w:ascii="宋体" w:hAnsi="宋体"/>
                    </w:rPr>
                    <w:t>板框压滤机脱水后储存并于一般固废暂存间暂存，定期委托环卫部门处理。</w:t>
                  </w:r>
                </w:p>
              </w:tc>
            </w:tr>
            <w:tr w14:paraId="186568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Merge w:val="continue"/>
                  <w:vAlign w:val="center"/>
                </w:tcPr>
                <w:p w14:paraId="4A44A9BA">
                  <w:pPr>
                    <w:jc w:val="center"/>
                    <w:rPr>
                      <w:szCs w:val="21"/>
                    </w:rPr>
                  </w:pPr>
                </w:p>
              </w:tc>
              <w:tc>
                <w:tcPr>
                  <w:tcW w:w="1142" w:type="pct"/>
                  <w:vAlign w:val="center"/>
                </w:tcPr>
                <w:p w14:paraId="4730175E">
                  <w:pPr>
                    <w:pStyle w:val="86"/>
                    <w:rPr>
                      <w:lang w:val="zh-CN"/>
                    </w:rPr>
                  </w:pPr>
                  <w:r>
                    <w:rPr>
                      <w:rFonts w:hint="eastAsia" w:ascii="宋体" w:hAnsi="宋体"/>
                      <w:bCs w:val="0"/>
                      <w:szCs w:val="21"/>
                    </w:rPr>
                    <w:t>废气治理</w:t>
                  </w:r>
                </w:p>
              </w:tc>
              <w:tc>
                <w:tcPr>
                  <w:tcW w:w="1103" w:type="pct"/>
                  <w:vAlign w:val="center"/>
                </w:tcPr>
                <w:p w14:paraId="1AFD3FFA">
                  <w:pPr>
                    <w:pStyle w:val="86"/>
                    <w:rPr>
                      <w:lang w:val="zh-CN"/>
                    </w:rPr>
                  </w:pPr>
                  <w:r>
                    <w:rPr>
                      <w:rFonts w:hint="eastAsia" w:ascii="宋体" w:hAnsi="宋体"/>
                      <w:bCs w:val="0"/>
                      <w:szCs w:val="21"/>
                    </w:rPr>
                    <w:t>废活性炭</w:t>
                  </w:r>
                </w:p>
              </w:tc>
              <w:tc>
                <w:tcPr>
                  <w:tcW w:w="2376" w:type="pct"/>
                  <w:vMerge w:val="restart"/>
                  <w:vAlign w:val="center"/>
                </w:tcPr>
                <w:p w14:paraId="008C1099">
                  <w:pPr>
                    <w:jc w:val="center"/>
                    <w:rPr>
                      <w:szCs w:val="21"/>
                    </w:rPr>
                  </w:pPr>
                  <w:r>
                    <w:rPr>
                      <w:rFonts w:hint="eastAsia" w:ascii="宋体" w:hAnsi="宋体"/>
                    </w:rPr>
                    <w:t>危废暂存间暂存后，由有相应资质的危废处理单位处置。</w:t>
                  </w:r>
                </w:p>
              </w:tc>
            </w:tr>
            <w:tr w14:paraId="5E9EA2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Merge w:val="continue"/>
                  <w:vAlign w:val="center"/>
                </w:tcPr>
                <w:p w14:paraId="056A4CBD">
                  <w:pPr>
                    <w:jc w:val="center"/>
                    <w:rPr>
                      <w:szCs w:val="21"/>
                    </w:rPr>
                  </w:pPr>
                </w:p>
              </w:tc>
              <w:tc>
                <w:tcPr>
                  <w:tcW w:w="1142" w:type="pct"/>
                  <w:vAlign w:val="center"/>
                </w:tcPr>
                <w:p w14:paraId="5A0EB282">
                  <w:pPr>
                    <w:pStyle w:val="86"/>
                    <w:rPr>
                      <w:lang w:val="zh-CN"/>
                    </w:rPr>
                  </w:pPr>
                  <w:r>
                    <w:rPr>
                      <w:rFonts w:hint="eastAsia" w:ascii="宋体" w:hAnsi="宋体"/>
                      <w:bCs w:val="0"/>
                      <w:szCs w:val="21"/>
                    </w:rPr>
                    <w:t>废气治理</w:t>
                  </w:r>
                </w:p>
              </w:tc>
              <w:tc>
                <w:tcPr>
                  <w:tcW w:w="1103" w:type="pct"/>
                  <w:vAlign w:val="center"/>
                </w:tcPr>
                <w:p w14:paraId="00E2FE22">
                  <w:pPr>
                    <w:pStyle w:val="86"/>
                    <w:rPr>
                      <w:lang w:val="zh-CN"/>
                    </w:rPr>
                  </w:pPr>
                  <w:r>
                    <w:rPr>
                      <w:rFonts w:hint="eastAsia" w:ascii="宋体" w:hAnsi="宋体"/>
                      <w:bCs w:val="0"/>
                      <w:szCs w:val="21"/>
                    </w:rPr>
                    <w:t>废催化剂</w:t>
                  </w:r>
                </w:p>
              </w:tc>
              <w:tc>
                <w:tcPr>
                  <w:tcW w:w="2376" w:type="pct"/>
                  <w:vMerge w:val="continue"/>
                  <w:vAlign w:val="center"/>
                </w:tcPr>
                <w:p w14:paraId="1F3C1281">
                  <w:pPr>
                    <w:jc w:val="center"/>
                    <w:rPr>
                      <w:color w:val="000000" w:themeColor="text1"/>
                      <w:szCs w:val="21"/>
                      <w:lang w:val="zh-CN"/>
                      <w14:textFill>
                        <w14:solidFill>
                          <w14:schemeClr w14:val="tx1"/>
                        </w14:solidFill>
                      </w14:textFill>
                    </w:rPr>
                  </w:pPr>
                </w:p>
              </w:tc>
            </w:tr>
          </w:tbl>
          <w:p w14:paraId="5142E80D">
            <w:pPr>
              <w:pStyle w:val="28"/>
              <w:ind w:firstLine="480"/>
            </w:pPr>
          </w:p>
        </w:tc>
      </w:tr>
      <w:tr w14:paraId="024F2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9" w:hRule="atLeast"/>
          <w:jc w:val="center"/>
        </w:trPr>
        <w:tc>
          <w:tcPr>
            <w:tcW w:w="456" w:type="dxa"/>
            <w:vAlign w:val="center"/>
          </w:tcPr>
          <w:p w14:paraId="6BF3F17C">
            <w:pPr>
              <w:pStyle w:val="15"/>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748" w:type="dxa"/>
            <w:vAlign w:val="center"/>
          </w:tcPr>
          <w:p w14:paraId="09DFB219">
            <w:pPr>
              <w:pStyle w:val="28"/>
              <w:ind w:firstLine="480"/>
            </w:pPr>
            <w:r>
              <w:rPr>
                <w:rFonts w:hint="eastAsia"/>
              </w:rPr>
              <w:t>新乡市嘉福宝科技有限公司现有项目为 “新乡市欧唯特塑业有限公司年加工10000吨再生塑料颗粒建设项目”，河南汇能阜力科技有限公司于2018年10月完成了《新乡市欧唯特塑业有限公司年加工10000吨再生塑料颗粒建设项目环境影响报告书》，2019年3月6日新乡市生态环境局（原新乡市环境保护局）对《新乡市欧唯特塑业有限公司年加工10000吨再生塑料颗粒建设项目环境影响报告书》进行了批复，文号为新环书审[2019]3号。该项目于20</w:t>
            </w:r>
            <w:r>
              <w:t>19</w:t>
            </w:r>
            <w:r>
              <w:rPr>
                <w:rFonts w:hint="eastAsia"/>
              </w:rPr>
              <w:t>年1</w:t>
            </w:r>
            <w:r>
              <w:t>2</w:t>
            </w:r>
            <w:r>
              <w:rPr>
                <w:rFonts w:hint="eastAsia"/>
              </w:rPr>
              <w:t>进行了自主验收，于2</w:t>
            </w:r>
            <w:r>
              <w:t>022</w:t>
            </w:r>
            <w:r>
              <w:rPr>
                <w:rFonts w:hint="eastAsia"/>
              </w:rPr>
              <w:t>年5月由新乡市欧唯特塑业有限公司转让给新乡市嘉福宝科技有限公司，并于2</w:t>
            </w:r>
            <w:r>
              <w:t>022</w:t>
            </w:r>
            <w:r>
              <w:rPr>
                <w:rFonts w:hint="eastAsia"/>
              </w:rPr>
              <w:t>年0</w:t>
            </w:r>
            <w:r>
              <w:t>6</w:t>
            </w:r>
            <w:r>
              <w:rPr>
                <w:rFonts w:hint="eastAsia"/>
              </w:rPr>
              <w:t>月0</w:t>
            </w:r>
            <w:r>
              <w:t>6</w:t>
            </w:r>
            <w:r>
              <w:rPr>
                <w:rFonts w:hint="eastAsia"/>
              </w:rPr>
              <w:t>日由新乡市嘉福宝科技有限公司进行了排污证变更，于2</w:t>
            </w:r>
            <w:r>
              <w:t>023</w:t>
            </w:r>
            <w:r>
              <w:rPr>
                <w:rFonts w:hint="eastAsia"/>
              </w:rPr>
              <w:t>年0</w:t>
            </w:r>
            <w:r>
              <w:t>1</w:t>
            </w:r>
            <w:r>
              <w:rPr>
                <w:rFonts w:hint="eastAsia"/>
              </w:rPr>
              <w:t>月0</w:t>
            </w:r>
            <w:r>
              <w:t>5</w:t>
            </w:r>
            <w:r>
              <w:rPr>
                <w:rFonts w:hint="eastAsia"/>
              </w:rPr>
              <w:t>日进行了排污证延续。</w:t>
            </w:r>
          </w:p>
          <w:p w14:paraId="61756D4E">
            <w:pPr>
              <w:pStyle w:val="28"/>
              <w:ind w:firstLine="480"/>
            </w:pPr>
            <w:r>
              <w:rPr>
                <w:rFonts w:hint="eastAsia"/>
              </w:rPr>
              <w:t>具体情况见下表：</w:t>
            </w:r>
          </w:p>
          <w:p w14:paraId="431A58B2">
            <w:pPr>
              <w:pStyle w:val="67"/>
              <w:ind w:firstLine="480"/>
            </w:pPr>
            <w:r>
              <w:rPr>
                <w:rFonts w:hint="eastAsia"/>
              </w:rPr>
              <w:t xml:space="preserve">                  现有项目基本情况一览表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9"/>
              <w:gridCol w:w="5983"/>
            </w:tblGrid>
            <w:tr w14:paraId="61CD3B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8" w:space="0"/>
                    <w:left w:val="nil"/>
                    <w:bottom w:val="single" w:color="auto" w:sz="4" w:space="0"/>
                    <w:right w:val="single" w:color="auto" w:sz="4" w:space="0"/>
                  </w:tcBorders>
                  <w:vAlign w:val="center"/>
                </w:tcPr>
                <w:p w14:paraId="47996520">
                  <w:pPr>
                    <w:pStyle w:val="86"/>
                    <w:rPr>
                      <w:b/>
                      <w:bCs w:val="0"/>
                      <w:szCs w:val="21"/>
                    </w:rPr>
                  </w:pPr>
                  <w:r>
                    <w:rPr>
                      <w:b/>
                      <w:bCs w:val="0"/>
                    </w:rPr>
                    <w:t>公司名称</w:t>
                  </w:r>
                </w:p>
              </w:tc>
              <w:tc>
                <w:tcPr>
                  <w:tcW w:w="6208" w:type="dxa"/>
                  <w:tcBorders>
                    <w:top w:val="single" w:color="auto" w:sz="8" w:space="0"/>
                    <w:left w:val="single" w:color="auto" w:sz="4" w:space="0"/>
                    <w:bottom w:val="single" w:color="auto" w:sz="4" w:space="0"/>
                    <w:right w:val="nil"/>
                  </w:tcBorders>
                  <w:vAlign w:val="center"/>
                </w:tcPr>
                <w:p w14:paraId="62C95BA2">
                  <w:pPr>
                    <w:pStyle w:val="86"/>
                  </w:pPr>
                  <w:r>
                    <w:rPr>
                      <w:rFonts w:hint="eastAsia"/>
                    </w:rPr>
                    <w:t>新乡市嘉福宝科技有限公司</w:t>
                  </w:r>
                </w:p>
              </w:tc>
            </w:tr>
            <w:tr w14:paraId="4437D3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1982D5C4">
                  <w:pPr>
                    <w:pStyle w:val="86"/>
                    <w:rPr>
                      <w:b/>
                      <w:bCs w:val="0"/>
                    </w:rPr>
                  </w:pPr>
                  <w:r>
                    <w:rPr>
                      <w:b/>
                      <w:bCs w:val="0"/>
                    </w:rPr>
                    <w:t>项目名称</w:t>
                  </w:r>
                </w:p>
              </w:tc>
              <w:tc>
                <w:tcPr>
                  <w:tcW w:w="6208" w:type="dxa"/>
                  <w:tcBorders>
                    <w:top w:val="single" w:color="auto" w:sz="4" w:space="0"/>
                    <w:left w:val="single" w:color="auto" w:sz="4" w:space="0"/>
                    <w:bottom w:val="single" w:color="auto" w:sz="4" w:space="0"/>
                    <w:right w:val="nil"/>
                  </w:tcBorders>
                  <w:vAlign w:val="center"/>
                </w:tcPr>
                <w:p w14:paraId="4B4F81EA">
                  <w:pPr>
                    <w:pStyle w:val="86"/>
                  </w:pPr>
                  <w:r>
                    <w:rPr>
                      <w:rFonts w:hint="eastAsia"/>
                    </w:rPr>
                    <w:t>新乡市欧唯特塑业有限公司年加工10000吨再生塑料颗粒建设项目</w:t>
                  </w:r>
                </w:p>
              </w:tc>
            </w:tr>
            <w:tr w14:paraId="1BDC99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2CB26DB8">
                  <w:pPr>
                    <w:pStyle w:val="86"/>
                    <w:rPr>
                      <w:b/>
                      <w:bCs w:val="0"/>
                    </w:rPr>
                  </w:pPr>
                  <w:r>
                    <w:rPr>
                      <w:b/>
                      <w:bCs w:val="0"/>
                    </w:rPr>
                    <w:t>厂区位置</w:t>
                  </w:r>
                </w:p>
              </w:tc>
              <w:tc>
                <w:tcPr>
                  <w:tcW w:w="6208" w:type="dxa"/>
                  <w:tcBorders>
                    <w:top w:val="single" w:color="auto" w:sz="4" w:space="0"/>
                    <w:left w:val="single" w:color="auto" w:sz="4" w:space="0"/>
                    <w:bottom w:val="single" w:color="auto" w:sz="4" w:space="0"/>
                    <w:right w:val="nil"/>
                  </w:tcBorders>
                  <w:vAlign w:val="center"/>
                </w:tcPr>
                <w:p w14:paraId="5427F486">
                  <w:pPr>
                    <w:pStyle w:val="86"/>
                  </w:pPr>
                  <w:r>
                    <w:rPr>
                      <w:rFonts w:hint="eastAsia"/>
                    </w:rPr>
                    <w:t>新乡市获嘉县仁爱路与新华街南段交叉口西北（产业集聚区二期4号）</w:t>
                  </w:r>
                </w:p>
              </w:tc>
            </w:tr>
            <w:tr w14:paraId="76C9B4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79077D50">
                  <w:pPr>
                    <w:pStyle w:val="86"/>
                    <w:rPr>
                      <w:b/>
                      <w:bCs w:val="0"/>
                    </w:rPr>
                  </w:pPr>
                  <w:r>
                    <w:rPr>
                      <w:b/>
                      <w:bCs w:val="0"/>
                    </w:rPr>
                    <w:t>产品方案</w:t>
                  </w:r>
                </w:p>
              </w:tc>
              <w:tc>
                <w:tcPr>
                  <w:tcW w:w="6208" w:type="dxa"/>
                  <w:tcBorders>
                    <w:top w:val="single" w:color="auto" w:sz="4" w:space="0"/>
                    <w:left w:val="single" w:color="auto" w:sz="4" w:space="0"/>
                    <w:bottom w:val="single" w:color="auto" w:sz="4" w:space="0"/>
                    <w:right w:val="nil"/>
                  </w:tcBorders>
                  <w:vAlign w:val="center"/>
                </w:tcPr>
                <w:p w14:paraId="2F5F5196">
                  <w:pPr>
                    <w:pStyle w:val="86"/>
                  </w:pPr>
                  <w:r>
                    <w:rPr>
                      <w:rFonts w:hint="eastAsia"/>
                    </w:rPr>
                    <w:t>再生塑料颗粒</w:t>
                  </w:r>
                  <w:r>
                    <w:t>10000</w:t>
                  </w:r>
                  <w:r>
                    <w:rPr>
                      <w:rFonts w:hint="eastAsia"/>
                    </w:rPr>
                    <w:t>吨/年</w:t>
                  </w:r>
                </w:p>
              </w:tc>
            </w:tr>
            <w:tr w14:paraId="57C606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3310C250">
                  <w:pPr>
                    <w:pStyle w:val="86"/>
                    <w:rPr>
                      <w:b/>
                      <w:bCs w:val="0"/>
                    </w:rPr>
                  </w:pPr>
                  <w:r>
                    <w:rPr>
                      <w:rFonts w:hint="eastAsia"/>
                      <w:b/>
                      <w:bCs w:val="0"/>
                    </w:rPr>
                    <w:t>环评报告</w:t>
                  </w:r>
                </w:p>
              </w:tc>
              <w:tc>
                <w:tcPr>
                  <w:tcW w:w="6208" w:type="dxa"/>
                  <w:tcBorders>
                    <w:top w:val="single" w:color="auto" w:sz="4" w:space="0"/>
                    <w:left w:val="single" w:color="auto" w:sz="4" w:space="0"/>
                    <w:bottom w:val="single" w:color="auto" w:sz="4" w:space="0"/>
                    <w:right w:val="nil"/>
                  </w:tcBorders>
                  <w:vAlign w:val="center"/>
                </w:tcPr>
                <w:p w14:paraId="24FB4D02">
                  <w:pPr>
                    <w:pStyle w:val="86"/>
                  </w:pPr>
                  <w:r>
                    <w:rPr>
                      <w:rFonts w:hint="eastAsia"/>
                    </w:rPr>
                    <w:t>新乡市欧唯特塑业有限公司年加工10000吨再生塑料颗粒建设项目环境影响报告书</w:t>
                  </w:r>
                </w:p>
              </w:tc>
            </w:tr>
            <w:tr w14:paraId="4EC28D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62ED1AEE">
                  <w:pPr>
                    <w:pStyle w:val="86"/>
                    <w:rPr>
                      <w:b/>
                      <w:bCs w:val="0"/>
                    </w:rPr>
                  </w:pPr>
                  <w:r>
                    <w:rPr>
                      <w:rFonts w:hint="eastAsia"/>
                      <w:b/>
                      <w:bCs w:val="0"/>
                    </w:rPr>
                    <w:t>批复时间</w:t>
                  </w:r>
                </w:p>
              </w:tc>
              <w:tc>
                <w:tcPr>
                  <w:tcW w:w="6208" w:type="dxa"/>
                  <w:tcBorders>
                    <w:top w:val="single" w:color="auto" w:sz="4" w:space="0"/>
                    <w:left w:val="single" w:color="auto" w:sz="4" w:space="0"/>
                    <w:bottom w:val="single" w:color="auto" w:sz="4" w:space="0"/>
                    <w:right w:val="nil"/>
                  </w:tcBorders>
                  <w:vAlign w:val="center"/>
                </w:tcPr>
                <w:p w14:paraId="3D2EFD92">
                  <w:pPr>
                    <w:pStyle w:val="86"/>
                  </w:pPr>
                  <w:r>
                    <w:rPr>
                      <w:rFonts w:hint="eastAsia"/>
                    </w:rPr>
                    <w:t>20</w:t>
                  </w:r>
                  <w:r>
                    <w:t>19</w:t>
                  </w:r>
                  <w:r>
                    <w:rPr>
                      <w:rFonts w:hint="eastAsia"/>
                    </w:rPr>
                    <w:t>年</w:t>
                  </w:r>
                  <w:r>
                    <w:t>3</w:t>
                  </w:r>
                  <w:r>
                    <w:rPr>
                      <w:rFonts w:hint="eastAsia"/>
                    </w:rPr>
                    <w:t>月</w:t>
                  </w:r>
                  <w:r>
                    <w:t>6</w:t>
                  </w:r>
                  <w:r>
                    <w:rPr>
                      <w:rFonts w:hint="eastAsia"/>
                    </w:rPr>
                    <w:t>日</w:t>
                  </w:r>
                </w:p>
              </w:tc>
            </w:tr>
            <w:tr w14:paraId="23D5F9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18ABE7BA">
                  <w:pPr>
                    <w:pStyle w:val="86"/>
                    <w:rPr>
                      <w:b/>
                      <w:bCs w:val="0"/>
                    </w:rPr>
                  </w:pPr>
                  <w:r>
                    <w:rPr>
                      <w:rFonts w:hint="eastAsia"/>
                      <w:b/>
                      <w:bCs w:val="0"/>
                    </w:rPr>
                    <w:t>批复</w:t>
                  </w:r>
                  <w:r>
                    <w:rPr>
                      <w:b/>
                      <w:bCs w:val="0"/>
                    </w:rPr>
                    <w:t>部门</w:t>
                  </w:r>
                </w:p>
              </w:tc>
              <w:tc>
                <w:tcPr>
                  <w:tcW w:w="6208" w:type="dxa"/>
                  <w:tcBorders>
                    <w:top w:val="single" w:color="auto" w:sz="4" w:space="0"/>
                    <w:left w:val="single" w:color="auto" w:sz="4" w:space="0"/>
                    <w:bottom w:val="single" w:color="auto" w:sz="4" w:space="0"/>
                    <w:right w:val="nil"/>
                  </w:tcBorders>
                  <w:vAlign w:val="center"/>
                </w:tcPr>
                <w:p w14:paraId="15E596C6">
                  <w:pPr>
                    <w:pStyle w:val="86"/>
                    <w:rPr>
                      <w:sz w:val="24"/>
                    </w:rPr>
                  </w:pPr>
                  <w:r>
                    <w:rPr>
                      <w:rFonts w:hint="eastAsia"/>
                    </w:rPr>
                    <w:t>新乡市生态环境局（原新乡市环境保护局）</w:t>
                  </w:r>
                </w:p>
              </w:tc>
            </w:tr>
            <w:tr w14:paraId="493CAA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62CBE036">
                  <w:pPr>
                    <w:pStyle w:val="86"/>
                    <w:rPr>
                      <w:b/>
                      <w:bCs w:val="0"/>
                    </w:rPr>
                  </w:pPr>
                  <w:r>
                    <w:rPr>
                      <w:rFonts w:hint="eastAsia"/>
                      <w:b/>
                      <w:bCs w:val="0"/>
                    </w:rPr>
                    <w:t>批复</w:t>
                  </w:r>
                  <w:r>
                    <w:rPr>
                      <w:b/>
                      <w:bCs w:val="0"/>
                    </w:rPr>
                    <w:t>文号</w:t>
                  </w:r>
                </w:p>
              </w:tc>
              <w:tc>
                <w:tcPr>
                  <w:tcW w:w="6208" w:type="dxa"/>
                  <w:tcBorders>
                    <w:top w:val="single" w:color="auto" w:sz="4" w:space="0"/>
                    <w:left w:val="single" w:color="auto" w:sz="4" w:space="0"/>
                    <w:bottom w:val="single" w:color="auto" w:sz="4" w:space="0"/>
                    <w:right w:val="nil"/>
                  </w:tcBorders>
                  <w:vAlign w:val="center"/>
                </w:tcPr>
                <w:p w14:paraId="426574BF">
                  <w:pPr>
                    <w:pStyle w:val="86"/>
                  </w:pPr>
                  <w:r>
                    <w:rPr>
                      <w:rFonts w:hint="eastAsia"/>
                    </w:rPr>
                    <w:t>新环书审[2019]3号</w:t>
                  </w:r>
                </w:p>
              </w:tc>
            </w:tr>
            <w:tr w14:paraId="638A54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02AE2245">
                  <w:pPr>
                    <w:pStyle w:val="86"/>
                    <w:rPr>
                      <w:b/>
                      <w:bCs w:val="0"/>
                    </w:rPr>
                  </w:pPr>
                  <w:r>
                    <w:rPr>
                      <w:rFonts w:hint="eastAsia"/>
                      <w:b/>
                      <w:bCs w:val="0"/>
                    </w:rPr>
                    <w:t>验收时间</w:t>
                  </w:r>
                </w:p>
              </w:tc>
              <w:tc>
                <w:tcPr>
                  <w:tcW w:w="6208" w:type="dxa"/>
                  <w:tcBorders>
                    <w:top w:val="single" w:color="auto" w:sz="4" w:space="0"/>
                    <w:left w:val="single" w:color="auto" w:sz="4" w:space="0"/>
                    <w:bottom w:val="single" w:color="auto" w:sz="4" w:space="0"/>
                    <w:right w:val="nil"/>
                  </w:tcBorders>
                  <w:vAlign w:val="center"/>
                </w:tcPr>
                <w:p w14:paraId="6D655567">
                  <w:pPr>
                    <w:pStyle w:val="86"/>
                  </w:pPr>
                  <w:r>
                    <w:rPr>
                      <w:rFonts w:hint="eastAsia"/>
                    </w:rPr>
                    <w:t>2</w:t>
                  </w:r>
                  <w:r>
                    <w:t>019</w:t>
                  </w:r>
                  <w:r>
                    <w:rPr>
                      <w:rFonts w:hint="eastAsia"/>
                    </w:rPr>
                    <w:t>年1</w:t>
                  </w:r>
                  <w:r>
                    <w:t>2</w:t>
                  </w:r>
                  <w:r>
                    <w:rPr>
                      <w:rFonts w:hint="eastAsia"/>
                    </w:rPr>
                    <w:t>月</w:t>
                  </w:r>
                </w:p>
              </w:tc>
            </w:tr>
            <w:tr w14:paraId="0C3CC6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4CD0A62D">
                  <w:pPr>
                    <w:pStyle w:val="86"/>
                    <w:rPr>
                      <w:b/>
                      <w:bCs w:val="0"/>
                    </w:rPr>
                  </w:pPr>
                  <w:r>
                    <w:rPr>
                      <w:b/>
                      <w:bCs w:val="0"/>
                    </w:rPr>
                    <w:t>排污许可证类别</w:t>
                  </w:r>
                </w:p>
              </w:tc>
              <w:tc>
                <w:tcPr>
                  <w:tcW w:w="6208" w:type="dxa"/>
                  <w:tcBorders>
                    <w:top w:val="single" w:color="auto" w:sz="4" w:space="0"/>
                    <w:left w:val="single" w:color="auto" w:sz="4" w:space="0"/>
                    <w:bottom w:val="single" w:color="auto" w:sz="4" w:space="0"/>
                    <w:right w:val="nil"/>
                  </w:tcBorders>
                  <w:vAlign w:val="center"/>
                </w:tcPr>
                <w:p w14:paraId="7B83D985">
                  <w:pPr>
                    <w:pStyle w:val="86"/>
                  </w:pPr>
                  <w:r>
                    <w:rPr>
                      <w:rFonts w:hint="eastAsia"/>
                    </w:rPr>
                    <w:t>简化管理</w:t>
                  </w:r>
                </w:p>
              </w:tc>
            </w:tr>
            <w:tr w14:paraId="74B8C8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12A9D11E">
                  <w:pPr>
                    <w:pStyle w:val="86"/>
                    <w:rPr>
                      <w:b/>
                      <w:bCs w:val="0"/>
                    </w:rPr>
                  </w:pPr>
                  <w:r>
                    <w:rPr>
                      <w:b/>
                      <w:bCs w:val="0"/>
                    </w:rPr>
                    <w:t>排污许可证编号</w:t>
                  </w:r>
                </w:p>
              </w:tc>
              <w:tc>
                <w:tcPr>
                  <w:tcW w:w="6208" w:type="dxa"/>
                  <w:tcBorders>
                    <w:top w:val="single" w:color="auto" w:sz="4" w:space="0"/>
                    <w:left w:val="single" w:color="auto" w:sz="4" w:space="0"/>
                    <w:bottom w:val="single" w:color="auto" w:sz="4" w:space="0"/>
                    <w:right w:val="nil"/>
                  </w:tcBorders>
                  <w:vAlign w:val="center"/>
                </w:tcPr>
                <w:p w14:paraId="17C82825">
                  <w:pPr>
                    <w:pStyle w:val="86"/>
                  </w:pPr>
                </w:p>
              </w:tc>
            </w:tr>
            <w:tr w14:paraId="32DDBA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6FED7474">
                  <w:pPr>
                    <w:pStyle w:val="86"/>
                    <w:rPr>
                      <w:b/>
                      <w:bCs w:val="0"/>
                    </w:rPr>
                  </w:pPr>
                  <w:r>
                    <w:rPr>
                      <w:b/>
                      <w:bCs w:val="0"/>
                    </w:rPr>
                    <w:t>排污许可证</w:t>
                  </w:r>
                  <w:r>
                    <w:rPr>
                      <w:rFonts w:hint="eastAsia"/>
                      <w:b/>
                      <w:bCs w:val="0"/>
                    </w:rPr>
                    <w:t>延续</w:t>
                  </w:r>
                  <w:r>
                    <w:rPr>
                      <w:b/>
                      <w:bCs w:val="0"/>
                    </w:rPr>
                    <w:t>时间</w:t>
                  </w:r>
                </w:p>
              </w:tc>
              <w:tc>
                <w:tcPr>
                  <w:tcW w:w="6208" w:type="dxa"/>
                  <w:tcBorders>
                    <w:top w:val="single" w:color="auto" w:sz="4" w:space="0"/>
                    <w:left w:val="single" w:color="auto" w:sz="4" w:space="0"/>
                    <w:bottom w:val="single" w:color="auto" w:sz="4" w:space="0"/>
                    <w:right w:val="nil"/>
                  </w:tcBorders>
                  <w:vAlign w:val="center"/>
                </w:tcPr>
                <w:p w14:paraId="0399805A">
                  <w:pPr>
                    <w:pStyle w:val="86"/>
                  </w:pPr>
                  <w:r>
                    <w:rPr>
                      <w:rFonts w:hint="eastAsia"/>
                    </w:rPr>
                    <w:t>202</w:t>
                  </w:r>
                  <w:r>
                    <w:t>2</w:t>
                  </w:r>
                  <w:r>
                    <w:rPr>
                      <w:rFonts w:hint="eastAsia"/>
                    </w:rPr>
                    <w:t>年</w:t>
                  </w:r>
                  <w:r>
                    <w:t>12</w:t>
                  </w:r>
                  <w:r>
                    <w:rPr>
                      <w:rFonts w:hint="eastAsia"/>
                    </w:rPr>
                    <w:t>月</w:t>
                  </w:r>
                  <w:r>
                    <w:t>16</w:t>
                  </w:r>
                  <w:r>
                    <w:rPr>
                      <w:rFonts w:hint="eastAsia"/>
                    </w:rPr>
                    <w:t>日</w:t>
                  </w:r>
                </w:p>
              </w:tc>
            </w:tr>
            <w:tr w14:paraId="7DC167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02" w:type="dxa"/>
                  <w:tcBorders>
                    <w:top w:val="single" w:color="auto" w:sz="4" w:space="0"/>
                    <w:left w:val="nil"/>
                    <w:bottom w:val="single" w:color="auto" w:sz="4" w:space="0"/>
                    <w:right w:val="single" w:color="auto" w:sz="4" w:space="0"/>
                  </w:tcBorders>
                  <w:vAlign w:val="center"/>
                </w:tcPr>
                <w:p w14:paraId="7F37C895">
                  <w:pPr>
                    <w:pStyle w:val="86"/>
                    <w:rPr>
                      <w:b/>
                      <w:bCs w:val="0"/>
                    </w:rPr>
                  </w:pPr>
                  <w:r>
                    <w:rPr>
                      <w:b/>
                      <w:bCs w:val="0"/>
                    </w:rPr>
                    <w:t>排污许可证有效期限</w:t>
                  </w:r>
                </w:p>
              </w:tc>
              <w:tc>
                <w:tcPr>
                  <w:tcW w:w="6208" w:type="dxa"/>
                  <w:tcBorders>
                    <w:top w:val="single" w:color="auto" w:sz="4" w:space="0"/>
                    <w:left w:val="single" w:color="auto" w:sz="4" w:space="0"/>
                    <w:bottom w:val="single" w:color="auto" w:sz="4" w:space="0"/>
                    <w:right w:val="nil"/>
                  </w:tcBorders>
                  <w:vAlign w:val="center"/>
                </w:tcPr>
                <w:p w14:paraId="1A16F4FE">
                  <w:pPr>
                    <w:pStyle w:val="86"/>
                  </w:pPr>
                  <w:r>
                    <w:rPr>
                      <w:rFonts w:hint="eastAsia"/>
                    </w:rPr>
                    <w:t>202</w:t>
                  </w:r>
                  <w:r>
                    <w:t>2</w:t>
                  </w:r>
                  <w:r>
                    <w:rPr>
                      <w:rFonts w:hint="eastAsia"/>
                    </w:rPr>
                    <w:t>年</w:t>
                  </w:r>
                  <w:r>
                    <w:t>12</w:t>
                  </w:r>
                  <w:r>
                    <w:rPr>
                      <w:rFonts w:hint="eastAsia"/>
                    </w:rPr>
                    <w:t>月</w:t>
                  </w:r>
                  <w:r>
                    <w:t>16</w:t>
                  </w:r>
                  <w:r>
                    <w:rPr>
                      <w:rFonts w:hint="eastAsia"/>
                    </w:rPr>
                    <w:t>日至202</w:t>
                  </w:r>
                  <w:r>
                    <w:t>7</w:t>
                  </w:r>
                  <w:r>
                    <w:rPr>
                      <w:rFonts w:hint="eastAsia"/>
                    </w:rPr>
                    <w:t>年</w:t>
                  </w:r>
                  <w:r>
                    <w:t>12</w:t>
                  </w:r>
                  <w:r>
                    <w:rPr>
                      <w:rFonts w:hint="eastAsia"/>
                    </w:rPr>
                    <w:t>月1</w:t>
                  </w:r>
                  <w:r>
                    <w:t>5</w:t>
                  </w:r>
                  <w:r>
                    <w:rPr>
                      <w:rFonts w:hint="eastAsia"/>
                    </w:rPr>
                    <w:t>日</w:t>
                  </w:r>
                </w:p>
              </w:tc>
            </w:tr>
          </w:tbl>
          <w:p w14:paraId="19FA1AAD">
            <w:pPr>
              <w:pStyle w:val="28"/>
              <w:ind w:firstLine="482"/>
              <w:rPr>
                <w:b/>
                <w:bCs/>
              </w:rPr>
            </w:pPr>
            <w:r>
              <w:rPr>
                <w:rFonts w:hint="eastAsia"/>
                <w:b/>
                <w:bCs/>
              </w:rPr>
              <w:t>一、现有工程污染情况</w:t>
            </w:r>
          </w:p>
          <w:p w14:paraId="2ADE2EA6">
            <w:pPr>
              <w:pStyle w:val="28"/>
              <w:ind w:firstLine="480"/>
            </w:pPr>
            <w:r>
              <w:rPr>
                <w:rFonts w:hint="eastAsia"/>
              </w:rPr>
              <w:t>根据其环评报告及批复、验收报告、近期的检测报告、排污许可证及现场勘察情况，现有项目污染物排放情况如下：</w:t>
            </w:r>
          </w:p>
          <w:p w14:paraId="28B05AF1">
            <w:pPr>
              <w:pStyle w:val="28"/>
              <w:ind w:firstLine="480"/>
            </w:pPr>
            <w:r>
              <w:rPr>
                <w:rFonts w:hint="eastAsia"/>
              </w:rPr>
              <w:t>1、废气</w:t>
            </w:r>
          </w:p>
          <w:p w14:paraId="109D91B7">
            <w:pPr>
              <w:pStyle w:val="28"/>
              <w:ind w:firstLine="480"/>
            </w:pPr>
            <w:r>
              <w:rPr>
                <w:rFonts w:hint="eastAsia"/>
              </w:rPr>
              <w:t>（一）有组织废气</w:t>
            </w:r>
          </w:p>
          <w:p w14:paraId="07EBDBDF">
            <w:pPr>
              <w:pStyle w:val="28"/>
              <w:ind w:firstLine="480"/>
            </w:pPr>
            <w:r>
              <w:rPr>
                <w:rFonts w:hint="eastAsia"/>
              </w:rPr>
              <w:t>现有工程废气主要是熔融挤出工序产生的非甲烷总烃（包括油雾）。熔融挤出工序产生的废气经集气罩收集后通过“水喷淋+工业高压静电油烟净化装置+活性炭吸附/脱附催化燃烧装置”（TA00</w:t>
            </w:r>
            <w:r>
              <w:t>1</w:t>
            </w:r>
            <w:r>
              <w:rPr>
                <w:rFonts w:hint="eastAsia"/>
              </w:rPr>
              <w:t>）+处理后经1根1</w:t>
            </w:r>
            <w:r>
              <w:t>5</w:t>
            </w:r>
            <w:r>
              <w:rPr>
                <w:rFonts w:hint="eastAsia"/>
              </w:rPr>
              <w:t>m高排气筒（DA00</w:t>
            </w:r>
            <w:r>
              <w:t>1</w:t>
            </w:r>
            <w:r>
              <w:rPr>
                <w:rFonts w:hint="eastAsia"/>
              </w:rPr>
              <w:t>）排放。</w:t>
            </w:r>
          </w:p>
          <w:p w14:paraId="6D5DAC7A">
            <w:pPr>
              <w:pStyle w:val="28"/>
              <w:ind w:firstLine="480"/>
            </w:pPr>
            <w:r>
              <w:rPr>
                <w:rFonts w:hint="eastAsia"/>
              </w:rPr>
              <w:t>河南摩尔检测有限公司于202</w:t>
            </w:r>
            <w:r>
              <w:t>3</w:t>
            </w:r>
            <w:r>
              <w:rPr>
                <w:rFonts w:hint="eastAsia"/>
              </w:rPr>
              <w:t>年</w:t>
            </w:r>
            <w:r>
              <w:t>4</w:t>
            </w:r>
            <w:r>
              <w:rPr>
                <w:rFonts w:hint="eastAsia"/>
              </w:rPr>
              <w:t>月</w:t>
            </w:r>
            <w:r>
              <w:t>27</w:t>
            </w:r>
            <w:r>
              <w:rPr>
                <w:rFonts w:hint="eastAsia"/>
              </w:rPr>
              <w:t>日对现有工程废气进行了现场检测，并于202</w:t>
            </w:r>
            <w:r>
              <w:t>3</w:t>
            </w:r>
            <w:r>
              <w:rPr>
                <w:rFonts w:hint="eastAsia"/>
              </w:rPr>
              <w:t>年</w:t>
            </w:r>
            <w:r>
              <w:t>5</w:t>
            </w:r>
            <w:r>
              <w:rPr>
                <w:rFonts w:hint="eastAsia"/>
              </w:rPr>
              <w:t>月</w:t>
            </w:r>
            <w:r>
              <w:t>6</w:t>
            </w:r>
            <w:r>
              <w:rPr>
                <w:rFonts w:hint="eastAsia"/>
              </w:rPr>
              <w:t>日出具了检测报告（见附件六），具体情况如下：</w:t>
            </w:r>
          </w:p>
          <w:p w14:paraId="6037885E">
            <w:pPr>
              <w:pStyle w:val="67"/>
              <w:ind w:firstLine="480"/>
            </w:pPr>
            <w:r>
              <w:rPr>
                <w:rFonts w:hint="eastAsia"/>
              </w:rPr>
              <w:t xml:space="preserve"> </w:t>
            </w:r>
            <w:r>
              <w:t xml:space="preserve">           </w:t>
            </w:r>
            <w:r>
              <w:rPr>
                <w:rFonts w:hint="eastAsia"/>
              </w:rPr>
              <w:t>废气污染物有组织排放检测结果</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43"/>
              <w:gridCol w:w="1277"/>
              <w:gridCol w:w="1234"/>
              <w:gridCol w:w="1236"/>
              <w:gridCol w:w="1959"/>
              <w:gridCol w:w="1883"/>
            </w:tblGrid>
            <w:tr w14:paraId="4851F2F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restart"/>
                  <w:vAlign w:val="center"/>
                </w:tcPr>
                <w:p w14:paraId="7BE05104">
                  <w:pPr>
                    <w:pStyle w:val="86"/>
                    <w:rPr>
                      <w:b/>
                      <w:bCs w:val="0"/>
                    </w:rPr>
                  </w:pPr>
                  <w:r>
                    <w:rPr>
                      <w:rFonts w:hint="eastAsia"/>
                      <w:b/>
                      <w:bCs w:val="0"/>
                    </w:rPr>
                    <w:t>检测点位</w:t>
                  </w:r>
                </w:p>
              </w:tc>
              <w:tc>
                <w:tcPr>
                  <w:tcW w:w="1327" w:type="dxa"/>
                  <w:vMerge w:val="restart"/>
                  <w:vAlign w:val="center"/>
                </w:tcPr>
                <w:p w14:paraId="67910767">
                  <w:pPr>
                    <w:pStyle w:val="86"/>
                    <w:rPr>
                      <w:b/>
                      <w:bCs w:val="0"/>
                    </w:rPr>
                  </w:pPr>
                  <w:r>
                    <w:rPr>
                      <w:rFonts w:hint="eastAsia"/>
                      <w:b/>
                      <w:bCs w:val="0"/>
                    </w:rPr>
                    <w:t>检测时间</w:t>
                  </w:r>
                </w:p>
              </w:tc>
              <w:tc>
                <w:tcPr>
                  <w:tcW w:w="1417" w:type="dxa"/>
                  <w:vMerge w:val="restart"/>
                  <w:vAlign w:val="center"/>
                </w:tcPr>
                <w:p w14:paraId="41D5EB7C">
                  <w:pPr>
                    <w:pStyle w:val="86"/>
                    <w:rPr>
                      <w:b/>
                      <w:bCs w:val="0"/>
                    </w:rPr>
                  </w:pPr>
                  <w:r>
                    <w:rPr>
                      <w:rFonts w:hint="eastAsia"/>
                      <w:b/>
                      <w:bCs w:val="0"/>
                    </w:rPr>
                    <w:t>检测频次</w:t>
                  </w:r>
                </w:p>
              </w:tc>
              <w:tc>
                <w:tcPr>
                  <w:tcW w:w="1276" w:type="dxa"/>
                  <w:vMerge w:val="restart"/>
                  <w:vAlign w:val="center"/>
                </w:tcPr>
                <w:p w14:paraId="46B7D18F">
                  <w:pPr>
                    <w:pStyle w:val="86"/>
                    <w:rPr>
                      <w:b/>
                      <w:bCs w:val="0"/>
                    </w:rPr>
                  </w:pPr>
                  <w:r>
                    <w:rPr>
                      <w:rFonts w:hint="eastAsia"/>
                      <w:b/>
                      <w:bCs w:val="0"/>
                    </w:rPr>
                    <w:t>流量（m</w:t>
                  </w:r>
                  <w:r>
                    <w:rPr>
                      <w:b/>
                      <w:bCs w:val="0"/>
                      <w:vertAlign w:val="superscript"/>
                    </w:rPr>
                    <w:t>3</w:t>
                  </w:r>
                  <w:r>
                    <w:rPr>
                      <w:b/>
                      <w:bCs w:val="0"/>
                    </w:rPr>
                    <w:t>/</w:t>
                  </w:r>
                  <w:r>
                    <w:rPr>
                      <w:rFonts w:hint="eastAsia"/>
                      <w:b/>
                      <w:bCs w:val="0"/>
                    </w:rPr>
                    <w:t>h）</w:t>
                  </w:r>
                </w:p>
              </w:tc>
              <w:tc>
                <w:tcPr>
                  <w:tcW w:w="4201" w:type="dxa"/>
                  <w:gridSpan w:val="2"/>
                  <w:vAlign w:val="center"/>
                </w:tcPr>
                <w:p w14:paraId="35FD0FBF">
                  <w:pPr>
                    <w:pStyle w:val="86"/>
                    <w:rPr>
                      <w:b/>
                      <w:bCs w:val="0"/>
                    </w:rPr>
                  </w:pPr>
                  <w:r>
                    <w:rPr>
                      <w:rFonts w:hint="eastAsia"/>
                      <w:b/>
                      <w:bCs w:val="0"/>
                    </w:rPr>
                    <w:t>非甲烷总烃</w:t>
                  </w:r>
                </w:p>
              </w:tc>
            </w:tr>
            <w:tr w14:paraId="20ACA4D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continue"/>
                  <w:vAlign w:val="center"/>
                </w:tcPr>
                <w:p w14:paraId="2A882481">
                  <w:pPr>
                    <w:pStyle w:val="86"/>
                    <w:rPr>
                      <w:b/>
                      <w:bCs w:val="0"/>
                    </w:rPr>
                  </w:pPr>
                </w:p>
              </w:tc>
              <w:tc>
                <w:tcPr>
                  <w:tcW w:w="1327" w:type="dxa"/>
                  <w:vMerge w:val="continue"/>
                  <w:vAlign w:val="center"/>
                </w:tcPr>
                <w:p w14:paraId="43ED35BD">
                  <w:pPr>
                    <w:pStyle w:val="86"/>
                    <w:rPr>
                      <w:b/>
                      <w:bCs w:val="0"/>
                    </w:rPr>
                  </w:pPr>
                </w:p>
              </w:tc>
              <w:tc>
                <w:tcPr>
                  <w:tcW w:w="1417" w:type="dxa"/>
                  <w:vMerge w:val="continue"/>
                  <w:vAlign w:val="center"/>
                </w:tcPr>
                <w:p w14:paraId="7E337B6F">
                  <w:pPr>
                    <w:pStyle w:val="86"/>
                    <w:rPr>
                      <w:b/>
                      <w:bCs w:val="0"/>
                    </w:rPr>
                  </w:pPr>
                </w:p>
              </w:tc>
              <w:tc>
                <w:tcPr>
                  <w:tcW w:w="1276" w:type="dxa"/>
                  <w:vMerge w:val="continue"/>
                  <w:vAlign w:val="center"/>
                </w:tcPr>
                <w:p w14:paraId="1813411F">
                  <w:pPr>
                    <w:pStyle w:val="86"/>
                    <w:rPr>
                      <w:b/>
                      <w:bCs w:val="0"/>
                    </w:rPr>
                  </w:pPr>
                </w:p>
              </w:tc>
              <w:tc>
                <w:tcPr>
                  <w:tcW w:w="2126" w:type="dxa"/>
                  <w:vAlign w:val="center"/>
                </w:tcPr>
                <w:p w14:paraId="074F7FC2">
                  <w:pPr>
                    <w:pStyle w:val="86"/>
                    <w:rPr>
                      <w:b/>
                      <w:bCs w:val="0"/>
                    </w:rPr>
                  </w:pPr>
                  <w:r>
                    <w:rPr>
                      <w:rFonts w:hint="eastAsia"/>
                      <w:b/>
                      <w:bCs w:val="0"/>
                    </w:rPr>
                    <w:t>排放浓度（mg</w:t>
                  </w:r>
                  <w:r>
                    <w:rPr>
                      <w:b/>
                      <w:bCs w:val="0"/>
                    </w:rPr>
                    <w:t>/</w:t>
                  </w:r>
                  <w:r>
                    <w:rPr>
                      <w:rFonts w:hint="eastAsia"/>
                      <w:b/>
                      <w:bCs w:val="0"/>
                    </w:rPr>
                    <w:t>m</w:t>
                  </w:r>
                  <w:r>
                    <w:rPr>
                      <w:b/>
                      <w:bCs w:val="0"/>
                      <w:vertAlign w:val="superscript"/>
                    </w:rPr>
                    <w:t>3</w:t>
                  </w:r>
                  <w:r>
                    <w:rPr>
                      <w:rFonts w:hint="eastAsia"/>
                      <w:b/>
                      <w:bCs w:val="0"/>
                    </w:rPr>
                    <w:t>）</w:t>
                  </w:r>
                </w:p>
              </w:tc>
              <w:tc>
                <w:tcPr>
                  <w:tcW w:w="2075" w:type="dxa"/>
                  <w:vAlign w:val="center"/>
                </w:tcPr>
                <w:p w14:paraId="35B5F60A">
                  <w:pPr>
                    <w:pStyle w:val="86"/>
                    <w:rPr>
                      <w:b/>
                      <w:bCs w:val="0"/>
                    </w:rPr>
                  </w:pPr>
                  <w:r>
                    <w:rPr>
                      <w:rFonts w:hint="eastAsia"/>
                      <w:b/>
                      <w:bCs w:val="0"/>
                    </w:rPr>
                    <w:t>排放速率（kg/h）</w:t>
                  </w:r>
                </w:p>
              </w:tc>
            </w:tr>
            <w:tr w14:paraId="5B113F3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restart"/>
                  <w:vAlign w:val="center"/>
                </w:tcPr>
                <w:p w14:paraId="0AE2F31B">
                  <w:pPr>
                    <w:pStyle w:val="86"/>
                  </w:pPr>
                  <w:r>
                    <w:rPr>
                      <w:rFonts w:hint="eastAsia"/>
                    </w:rPr>
                    <w:t>有机废气处理设施排气筒进口</w:t>
                  </w:r>
                </w:p>
              </w:tc>
              <w:tc>
                <w:tcPr>
                  <w:tcW w:w="1327" w:type="dxa"/>
                  <w:vMerge w:val="restart"/>
                  <w:vAlign w:val="center"/>
                </w:tcPr>
                <w:p w14:paraId="3F951293">
                  <w:pPr>
                    <w:pStyle w:val="86"/>
                  </w:pPr>
                  <w:r>
                    <w:t>2023.4.27</w:t>
                  </w:r>
                </w:p>
              </w:tc>
              <w:tc>
                <w:tcPr>
                  <w:tcW w:w="1417" w:type="dxa"/>
                  <w:vAlign w:val="center"/>
                </w:tcPr>
                <w:p w14:paraId="54F65AFB">
                  <w:pPr>
                    <w:pStyle w:val="86"/>
                  </w:pPr>
                  <w:r>
                    <w:t>第1次</w:t>
                  </w:r>
                </w:p>
              </w:tc>
              <w:tc>
                <w:tcPr>
                  <w:tcW w:w="1276" w:type="dxa"/>
                  <w:vAlign w:val="center"/>
                </w:tcPr>
                <w:p w14:paraId="0A0D3743">
                  <w:pPr>
                    <w:pStyle w:val="86"/>
                  </w:pPr>
                  <w:r>
                    <w:rPr>
                      <w:rFonts w:hint="eastAsia"/>
                    </w:rPr>
                    <w:t>6.00</w:t>
                  </w:r>
                  <w:r>
                    <w:t>×10</w:t>
                  </w:r>
                  <w:r>
                    <w:rPr>
                      <w:vertAlign w:val="superscript"/>
                    </w:rPr>
                    <w:t>3</w:t>
                  </w:r>
                </w:p>
              </w:tc>
              <w:tc>
                <w:tcPr>
                  <w:tcW w:w="2126" w:type="dxa"/>
                  <w:vAlign w:val="center"/>
                </w:tcPr>
                <w:p w14:paraId="380DC448">
                  <w:pPr>
                    <w:pStyle w:val="86"/>
                  </w:pPr>
                  <w:r>
                    <w:rPr>
                      <w:rFonts w:hint="eastAsia"/>
                    </w:rPr>
                    <w:t>30.9</w:t>
                  </w:r>
                </w:p>
              </w:tc>
              <w:tc>
                <w:tcPr>
                  <w:tcW w:w="2075" w:type="dxa"/>
                  <w:vAlign w:val="center"/>
                </w:tcPr>
                <w:p w14:paraId="032FC7D1">
                  <w:pPr>
                    <w:pStyle w:val="86"/>
                  </w:pPr>
                  <w:r>
                    <w:rPr>
                      <w:rFonts w:hint="eastAsia"/>
                    </w:rPr>
                    <w:t>0.185</w:t>
                  </w:r>
                </w:p>
              </w:tc>
            </w:tr>
            <w:tr w14:paraId="10E0BC2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continue"/>
                  <w:vAlign w:val="center"/>
                </w:tcPr>
                <w:p w14:paraId="3FB40EB5">
                  <w:pPr>
                    <w:pStyle w:val="86"/>
                  </w:pPr>
                </w:p>
              </w:tc>
              <w:tc>
                <w:tcPr>
                  <w:tcW w:w="1327" w:type="dxa"/>
                  <w:vMerge w:val="continue"/>
                  <w:vAlign w:val="center"/>
                </w:tcPr>
                <w:p w14:paraId="79A516C8">
                  <w:pPr>
                    <w:pStyle w:val="86"/>
                  </w:pPr>
                </w:p>
              </w:tc>
              <w:tc>
                <w:tcPr>
                  <w:tcW w:w="1417" w:type="dxa"/>
                  <w:vAlign w:val="center"/>
                </w:tcPr>
                <w:p w14:paraId="4D67FF7A">
                  <w:pPr>
                    <w:pStyle w:val="86"/>
                  </w:pPr>
                  <w:r>
                    <w:t>第2次</w:t>
                  </w:r>
                </w:p>
              </w:tc>
              <w:tc>
                <w:tcPr>
                  <w:tcW w:w="1276" w:type="dxa"/>
                  <w:vAlign w:val="center"/>
                </w:tcPr>
                <w:p w14:paraId="29C0B8DF">
                  <w:pPr>
                    <w:pStyle w:val="86"/>
                  </w:pPr>
                  <w:r>
                    <w:rPr>
                      <w:rFonts w:hint="eastAsia"/>
                    </w:rPr>
                    <w:t>5.98</w:t>
                  </w:r>
                  <w:r>
                    <w:t>×10</w:t>
                  </w:r>
                  <w:r>
                    <w:rPr>
                      <w:vertAlign w:val="superscript"/>
                    </w:rPr>
                    <w:t>3</w:t>
                  </w:r>
                </w:p>
              </w:tc>
              <w:tc>
                <w:tcPr>
                  <w:tcW w:w="2126" w:type="dxa"/>
                  <w:vAlign w:val="center"/>
                </w:tcPr>
                <w:p w14:paraId="61811CC6">
                  <w:pPr>
                    <w:pStyle w:val="86"/>
                  </w:pPr>
                  <w:r>
                    <w:rPr>
                      <w:rFonts w:hint="eastAsia"/>
                    </w:rPr>
                    <w:t>30.1</w:t>
                  </w:r>
                </w:p>
              </w:tc>
              <w:tc>
                <w:tcPr>
                  <w:tcW w:w="2075" w:type="dxa"/>
                  <w:vAlign w:val="center"/>
                </w:tcPr>
                <w:p w14:paraId="3139C8FF">
                  <w:pPr>
                    <w:pStyle w:val="86"/>
                  </w:pPr>
                  <w:r>
                    <w:rPr>
                      <w:rFonts w:hint="eastAsia"/>
                    </w:rPr>
                    <w:t>0.180</w:t>
                  </w:r>
                </w:p>
              </w:tc>
            </w:tr>
            <w:tr w14:paraId="3A4D0EA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continue"/>
                  <w:vAlign w:val="center"/>
                </w:tcPr>
                <w:p w14:paraId="189ECBA8">
                  <w:pPr>
                    <w:pStyle w:val="86"/>
                  </w:pPr>
                </w:p>
              </w:tc>
              <w:tc>
                <w:tcPr>
                  <w:tcW w:w="1327" w:type="dxa"/>
                  <w:vMerge w:val="continue"/>
                  <w:vAlign w:val="center"/>
                </w:tcPr>
                <w:p w14:paraId="1EF7BB4F">
                  <w:pPr>
                    <w:pStyle w:val="86"/>
                  </w:pPr>
                </w:p>
              </w:tc>
              <w:tc>
                <w:tcPr>
                  <w:tcW w:w="1417" w:type="dxa"/>
                  <w:vAlign w:val="center"/>
                </w:tcPr>
                <w:p w14:paraId="20D97FEC">
                  <w:pPr>
                    <w:pStyle w:val="86"/>
                  </w:pPr>
                  <w:r>
                    <w:t>第3次</w:t>
                  </w:r>
                </w:p>
              </w:tc>
              <w:tc>
                <w:tcPr>
                  <w:tcW w:w="1276" w:type="dxa"/>
                  <w:vAlign w:val="center"/>
                </w:tcPr>
                <w:p w14:paraId="530D3961">
                  <w:pPr>
                    <w:pStyle w:val="86"/>
                  </w:pPr>
                  <w:r>
                    <w:rPr>
                      <w:rFonts w:hint="eastAsia"/>
                    </w:rPr>
                    <w:t>6.03</w:t>
                  </w:r>
                  <w:r>
                    <w:t>×10</w:t>
                  </w:r>
                  <w:r>
                    <w:rPr>
                      <w:vertAlign w:val="superscript"/>
                    </w:rPr>
                    <w:t>3</w:t>
                  </w:r>
                </w:p>
              </w:tc>
              <w:tc>
                <w:tcPr>
                  <w:tcW w:w="2126" w:type="dxa"/>
                  <w:vAlign w:val="center"/>
                </w:tcPr>
                <w:p w14:paraId="3D5F245E">
                  <w:pPr>
                    <w:pStyle w:val="86"/>
                  </w:pPr>
                  <w:r>
                    <w:rPr>
                      <w:rFonts w:hint="eastAsia"/>
                    </w:rPr>
                    <w:t>25.6</w:t>
                  </w:r>
                </w:p>
              </w:tc>
              <w:tc>
                <w:tcPr>
                  <w:tcW w:w="2075" w:type="dxa"/>
                  <w:vAlign w:val="center"/>
                </w:tcPr>
                <w:p w14:paraId="0602F3BB">
                  <w:pPr>
                    <w:pStyle w:val="86"/>
                  </w:pPr>
                  <w:r>
                    <w:rPr>
                      <w:rFonts w:hint="eastAsia"/>
                    </w:rPr>
                    <w:t>0.154</w:t>
                  </w:r>
                </w:p>
              </w:tc>
            </w:tr>
            <w:tr w14:paraId="3D4598E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continue"/>
                  <w:vAlign w:val="center"/>
                </w:tcPr>
                <w:p w14:paraId="30C3268B">
                  <w:pPr>
                    <w:pStyle w:val="86"/>
                  </w:pPr>
                </w:p>
              </w:tc>
              <w:tc>
                <w:tcPr>
                  <w:tcW w:w="1327" w:type="dxa"/>
                  <w:vMerge w:val="continue"/>
                  <w:vAlign w:val="center"/>
                </w:tcPr>
                <w:p w14:paraId="49AA6C13">
                  <w:pPr>
                    <w:pStyle w:val="86"/>
                  </w:pPr>
                </w:p>
              </w:tc>
              <w:tc>
                <w:tcPr>
                  <w:tcW w:w="1417" w:type="dxa"/>
                  <w:vAlign w:val="center"/>
                </w:tcPr>
                <w:p w14:paraId="2A00FCFB">
                  <w:pPr>
                    <w:pStyle w:val="86"/>
                  </w:pPr>
                  <w:r>
                    <w:t>平均值</w:t>
                  </w:r>
                </w:p>
              </w:tc>
              <w:tc>
                <w:tcPr>
                  <w:tcW w:w="1276" w:type="dxa"/>
                  <w:vAlign w:val="center"/>
                </w:tcPr>
                <w:p w14:paraId="02F5E821">
                  <w:pPr>
                    <w:pStyle w:val="86"/>
                  </w:pPr>
                  <w:r>
                    <w:rPr>
                      <w:rFonts w:hint="eastAsia"/>
                    </w:rPr>
                    <w:t>6.00</w:t>
                  </w:r>
                  <w:r>
                    <w:t>×10</w:t>
                  </w:r>
                  <w:r>
                    <w:rPr>
                      <w:vertAlign w:val="superscript"/>
                    </w:rPr>
                    <w:t>3</w:t>
                  </w:r>
                </w:p>
              </w:tc>
              <w:tc>
                <w:tcPr>
                  <w:tcW w:w="2126" w:type="dxa"/>
                  <w:vAlign w:val="center"/>
                </w:tcPr>
                <w:p w14:paraId="2ED6DD48">
                  <w:pPr>
                    <w:pStyle w:val="86"/>
                  </w:pPr>
                  <w:r>
                    <w:rPr>
                      <w:rFonts w:hint="eastAsia"/>
                    </w:rPr>
                    <w:t>28.9</w:t>
                  </w:r>
                </w:p>
              </w:tc>
              <w:tc>
                <w:tcPr>
                  <w:tcW w:w="2075" w:type="dxa"/>
                  <w:vAlign w:val="center"/>
                </w:tcPr>
                <w:p w14:paraId="03F3DBD8">
                  <w:pPr>
                    <w:pStyle w:val="86"/>
                  </w:pPr>
                  <w:r>
                    <w:rPr>
                      <w:rFonts w:hint="eastAsia"/>
                    </w:rPr>
                    <w:t>0.173</w:t>
                  </w:r>
                </w:p>
              </w:tc>
            </w:tr>
            <w:tr w14:paraId="38C3C87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restart"/>
                  <w:vAlign w:val="center"/>
                </w:tcPr>
                <w:p w14:paraId="3208A36D">
                  <w:pPr>
                    <w:pStyle w:val="86"/>
                  </w:pPr>
                  <w:r>
                    <w:rPr>
                      <w:rFonts w:hint="eastAsia"/>
                    </w:rPr>
                    <w:t>有机废气处理设施排气筒出口</w:t>
                  </w:r>
                </w:p>
              </w:tc>
              <w:tc>
                <w:tcPr>
                  <w:tcW w:w="1327" w:type="dxa"/>
                  <w:vMerge w:val="restart"/>
                  <w:vAlign w:val="center"/>
                </w:tcPr>
                <w:p w14:paraId="10725295">
                  <w:pPr>
                    <w:pStyle w:val="86"/>
                  </w:pPr>
                  <w:r>
                    <w:t>2023.4.27</w:t>
                  </w:r>
                </w:p>
              </w:tc>
              <w:tc>
                <w:tcPr>
                  <w:tcW w:w="1417" w:type="dxa"/>
                  <w:vAlign w:val="center"/>
                </w:tcPr>
                <w:p w14:paraId="0CD6EAA2">
                  <w:pPr>
                    <w:pStyle w:val="86"/>
                  </w:pPr>
                  <w:r>
                    <w:t>第1次</w:t>
                  </w:r>
                </w:p>
              </w:tc>
              <w:tc>
                <w:tcPr>
                  <w:tcW w:w="1276" w:type="dxa"/>
                  <w:vAlign w:val="center"/>
                </w:tcPr>
                <w:p w14:paraId="2BF40DCA">
                  <w:pPr>
                    <w:pStyle w:val="86"/>
                  </w:pPr>
                  <w:r>
                    <w:rPr>
                      <w:rFonts w:hint="eastAsia"/>
                    </w:rPr>
                    <w:t>6.39</w:t>
                  </w:r>
                  <w:r>
                    <w:t>×10</w:t>
                  </w:r>
                  <w:r>
                    <w:rPr>
                      <w:vertAlign w:val="superscript"/>
                    </w:rPr>
                    <w:t>3</w:t>
                  </w:r>
                </w:p>
              </w:tc>
              <w:tc>
                <w:tcPr>
                  <w:tcW w:w="2126" w:type="dxa"/>
                  <w:vAlign w:val="center"/>
                </w:tcPr>
                <w:p w14:paraId="4CC1B60E">
                  <w:pPr>
                    <w:pStyle w:val="86"/>
                  </w:pPr>
                  <w:r>
                    <w:rPr>
                      <w:rFonts w:hint="eastAsia"/>
                    </w:rPr>
                    <w:t>3.13</w:t>
                  </w:r>
                </w:p>
              </w:tc>
              <w:tc>
                <w:tcPr>
                  <w:tcW w:w="2075" w:type="dxa"/>
                  <w:vAlign w:val="center"/>
                </w:tcPr>
                <w:p w14:paraId="3E720F5A">
                  <w:pPr>
                    <w:pStyle w:val="86"/>
                  </w:pPr>
                  <w:r>
                    <w:rPr>
                      <w:rFonts w:hint="eastAsia"/>
                    </w:rPr>
                    <w:t>0.0200</w:t>
                  </w:r>
                </w:p>
              </w:tc>
            </w:tr>
            <w:tr w14:paraId="0E6E282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continue"/>
                  <w:vAlign w:val="center"/>
                </w:tcPr>
                <w:p w14:paraId="49EF2040">
                  <w:pPr>
                    <w:pStyle w:val="86"/>
                  </w:pPr>
                </w:p>
              </w:tc>
              <w:tc>
                <w:tcPr>
                  <w:tcW w:w="1327" w:type="dxa"/>
                  <w:vMerge w:val="continue"/>
                  <w:vAlign w:val="center"/>
                </w:tcPr>
                <w:p w14:paraId="75B523F8">
                  <w:pPr>
                    <w:pStyle w:val="86"/>
                  </w:pPr>
                </w:p>
              </w:tc>
              <w:tc>
                <w:tcPr>
                  <w:tcW w:w="1417" w:type="dxa"/>
                  <w:vAlign w:val="center"/>
                </w:tcPr>
                <w:p w14:paraId="4131D070">
                  <w:pPr>
                    <w:pStyle w:val="86"/>
                  </w:pPr>
                  <w:r>
                    <w:t>第2次</w:t>
                  </w:r>
                </w:p>
              </w:tc>
              <w:tc>
                <w:tcPr>
                  <w:tcW w:w="1276" w:type="dxa"/>
                  <w:vAlign w:val="center"/>
                </w:tcPr>
                <w:p w14:paraId="2F162F88">
                  <w:pPr>
                    <w:pStyle w:val="86"/>
                  </w:pPr>
                  <w:r>
                    <w:rPr>
                      <w:rFonts w:hint="eastAsia"/>
                    </w:rPr>
                    <w:t>6.42</w:t>
                  </w:r>
                  <w:r>
                    <w:t>×10</w:t>
                  </w:r>
                  <w:r>
                    <w:rPr>
                      <w:vertAlign w:val="superscript"/>
                    </w:rPr>
                    <w:t>3</w:t>
                  </w:r>
                </w:p>
              </w:tc>
              <w:tc>
                <w:tcPr>
                  <w:tcW w:w="2126" w:type="dxa"/>
                  <w:vAlign w:val="center"/>
                </w:tcPr>
                <w:p w14:paraId="012A3BE4">
                  <w:pPr>
                    <w:pStyle w:val="86"/>
                  </w:pPr>
                  <w:r>
                    <w:rPr>
                      <w:rFonts w:hint="eastAsia"/>
                    </w:rPr>
                    <w:t>2.66</w:t>
                  </w:r>
                </w:p>
              </w:tc>
              <w:tc>
                <w:tcPr>
                  <w:tcW w:w="2075" w:type="dxa"/>
                  <w:vAlign w:val="center"/>
                </w:tcPr>
                <w:p w14:paraId="4C48583E">
                  <w:pPr>
                    <w:pStyle w:val="86"/>
                  </w:pPr>
                  <w:r>
                    <w:rPr>
                      <w:rFonts w:hint="eastAsia"/>
                    </w:rPr>
                    <w:t>0.0171</w:t>
                  </w:r>
                </w:p>
              </w:tc>
            </w:tr>
            <w:tr w14:paraId="3E79203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continue"/>
                  <w:vAlign w:val="center"/>
                </w:tcPr>
                <w:p w14:paraId="2F3D1898">
                  <w:pPr>
                    <w:pStyle w:val="86"/>
                  </w:pPr>
                </w:p>
              </w:tc>
              <w:tc>
                <w:tcPr>
                  <w:tcW w:w="1327" w:type="dxa"/>
                  <w:vMerge w:val="continue"/>
                  <w:vAlign w:val="center"/>
                </w:tcPr>
                <w:p w14:paraId="55E55A68">
                  <w:pPr>
                    <w:pStyle w:val="86"/>
                  </w:pPr>
                </w:p>
              </w:tc>
              <w:tc>
                <w:tcPr>
                  <w:tcW w:w="1417" w:type="dxa"/>
                  <w:vAlign w:val="center"/>
                </w:tcPr>
                <w:p w14:paraId="5ACA23CB">
                  <w:pPr>
                    <w:pStyle w:val="86"/>
                  </w:pPr>
                  <w:r>
                    <w:t>第3次</w:t>
                  </w:r>
                </w:p>
              </w:tc>
              <w:tc>
                <w:tcPr>
                  <w:tcW w:w="1276" w:type="dxa"/>
                  <w:vAlign w:val="center"/>
                </w:tcPr>
                <w:p w14:paraId="17CBFEB0">
                  <w:pPr>
                    <w:pStyle w:val="86"/>
                  </w:pPr>
                  <w:r>
                    <w:rPr>
                      <w:rFonts w:hint="eastAsia"/>
                    </w:rPr>
                    <w:t>6.35</w:t>
                  </w:r>
                  <w:r>
                    <w:t>×10</w:t>
                  </w:r>
                  <w:r>
                    <w:rPr>
                      <w:vertAlign w:val="superscript"/>
                    </w:rPr>
                    <w:t>3</w:t>
                  </w:r>
                </w:p>
              </w:tc>
              <w:tc>
                <w:tcPr>
                  <w:tcW w:w="2126" w:type="dxa"/>
                  <w:vAlign w:val="center"/>
                </w:tcPr>
                <w:p w14:paraId="07F6548C">
                  <w:pPr>
                    <w:pStyle w:val="86"/>
                  </w:pPr>
                  <w:r>
                    <w:rPr>
                      <w:rFonts w:hint="eastAsia"/>
                    </w:rPr>
                    <w:t>3.00</w:t>
                  </w:r>
                </w:p>
              </w:tc>
              <w:tc>
                <w:tcPr>
                  <w:tcW w:w="2075" w:type="dxa"/>
                  <w:vAlign w:val="center"/>
                </w:tcPr>
                <w:p w14:paraId="10163197">
                  <w:pPr>
                    <w:pStyle w:val="86"/>
                  </w:pPr>
                  <w:r>
                    <w:rPr>
                      <w:rFonts w:hint="eastAsia"/>
                    </w:rPr>
                    <w:t>0.0190</w:t>
                  </w:r>
                </w:p>
              </w:tc>
            </w:tr>
            <w:tr w14:paraId="3CBE02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Merge w:val="continue"/>
                  <w:vAlign w:val="center"/>
                </w:tcPr>
                <w:p w14:paraId="47D56D7E">
                  <w:pPr>
                    <w:pStyle w:val="86"/>
                  </w:pPr>
                </w:p>
              </w:tc>
              <w:tc>
                <w:tcPr>
                  <w:tcW w:w="1327" w:type="dxa"/>
                  <w:vMerge w:val="continue"/>
                  <w:vAlign w:val="center"/>
                </w:tcPr>
                <w:p w14:paraId="61D64540">
                  <w:pPr>
                    <w:pStyle w:val="86"/>
                  </w:pPr>
                </w:p>
              </w:tc>
              <w:tc>
                <w:tcPr>
                  <w:tcW w:w="1417" w:type="dxa"/>
                  <w:vAlign w:val="center"/>
                </w:tcPr>
                <w:p w14:paraId="742B9737">
                  <w:pPr>
                    <w:pStyle w:val="86"/>
                  </w:pPr>
                  <w:r>
                    <w:t>平均值</w:t>
                  </w:r>
                </w:p>
              </w:tc>
              <w:tc>
                <w:tcPr>
                  <w:tcW w:w="1276" w:type="dxa"/>
                  <w:vAlign w:val="center"/>
                </w:tcPr>
                <w:p w14:paraId="4755198F">
                  <w:pPr>
                    <w:pStyle w:val="86"/>
                  </w:pPr>
                  <w:r>
                    <w:rPr>
                      <w:rFonts w:hint="eastAsia"/>
                    </w:rPr>
                    <w:t>6.39</w:t>
                  </w:r>
                  <w:r>
                    <w:t>×10</w:t>
                  </w:r>
                  <w:r>
                    <w:rPr>
                      <w:vertAlign w:val="superscript"/>
                    </w:rPr>
                    <w:t>3</w:t>
                  </w:r>
                </w:p>
              </w:tc>
              <w:tc>
                <w:tcPr>
                  <w:tcW w:w="2126" w:type="dxa"/>
                  <w:vAlign w:val="center"/>
                </w:tcPr>
                <w:p w14:paraId="26C2511A">
                  <w:pPr>
                    <w:pStyle w:val="86"/>
                  </w:pPr>
                  <w:r>
                    <w:rPr>
                      <w:rFonts w:hint="eastAsia"/>
                    </w:rPr>
                    <w:t>2.93</w:t>
                  </w:r>
                </w:p>
              </w:tc>
              <w:tc>
                <w:tcPr>
                  <w:tcW w:w="2075" w:type="dxa"/>
                  <w:vAlign w:val="center"/>
                </w:tcPr>
                <w:p w14:paraId="07AE173C">
                  <w:pPr>
                    <w:pStyle w:val="86"/>
                  </w:pPr>
                  <w:r>
                    <w:rPr>
                      <w:rFonts w:hint="eastAsia"/>
                    </w:rPr>
                    <w:t>0.0187</w:t>
                  </w:r>
                </w:p>
              </w:tc>
            </w:tr>
            <w:tr w14:paraId="365AF92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88" w:type="dxa"/>
                  <w:gridSpan w:val="2"/>
                  <w:vAlign w:val="center"/>
                </w:tcPr>
                <w:p w14:paraId="5C94180C">
                  <w:pPr>
                    <w:pStyle w:val="86"/>
                  </w:pPr>
                  <w:r>
                    <w:rPr>
                      <w:rFonts w:hint="eastAsia"/>
                    </w:rPr>
                    <w:t>去除效率（%）</w:t>
                  </w:r>
                </w:p>
              </w:tc>
              <w:tc>
                <w:tcPr>
                  <w:tcW w:w="6894" w:type="dxa"/>
                  <w:gridSpan w:val="4"/>
                  <w:vAlign w:val="center"/>
                </w:tcPr>
                <w:p w14:paraId="2C2F8701">
                  <w:pPr>
                    <w:pStyle w:val="86"/>
                  </w:pPr>
                  <w:r>
                    <w:t>89.2</w:t>
                  </w:r>
                </w:p>
              </w:tc>
            </w:tr>
          </w:tbl>
          <w:p w14:paraId="12111E41">
            <w:pPr>
              <w:pStyle w:val="28"/>
              <w:ind w:firstLine="480"/>
            </w:pPr>
            <w:r>
              <w:rPr>
                <w:rFonts w:hint="eastAsia"/>
              </w:rPr>
              <w:t>由上表可知，熔融挤出工序非甲烷总烃最大排放浓度为</w:t>
            </w:r>
            <w:r>
              <w:t>3.13</w:t>
            </w:r>
            <w:r>
              <w:rPr>
                <w:rFonts w:hint="eastAsia"/>
              </w:rPr>
              <w:t>mg/m</w:t>
            </w:r>
            <w:r>
              <w:rPr>
                <w:rFonts w:hint="eastAsia"/>
                <w:vertAlign w:val="superscript"/>
              </w:rPr>
              <w:t>3</w:t>
            </w:r>
            <w:r>
              <w:rPr>
                <w:rFonts w:hint="eastAsia"/>
              </w:rPr>
              <w:t>，能够满足《合成树脂工业污染物排放标准》（GB31572-2015）表</w:t>
            </w:r>
            <w:r>
              <w:t>5</w:t>
            </w:r>
            <w:r>
              <w:rPr>
                <w:rFonts w:hint="eastAsia"/>
              </w:rPr>
              <w:t>非甲烷总烃排放浓度</w:t>
            </w:r>
            <w:r>
              <w:t>60</w:t>
            </w:r>
            <w:r>
              <w:rPr>
                <w:rFonts w:hint="eastAsia"/>
              </w:rPr>
              <w:t>mg/m</w:t>
            </w:r>
            <w:r>
              <w:rPr>
                <w:rFonts w:hint="eastAsia"/>
                <w:vertAlign w:val="superscript"/>
              </w:rPr>
              <w:t>3</w:t>
            </w:r>
            <w:r>
              <w:rPr>
                <w:rFonts w:hint="eastAsia"/>
              </w:rPr>
              <w:t>以及《关于全省开展工业企业挥发性有机物专项治理工作中排放建议限值的通知》（豫环攻坚办（2017）162号）中其他行业建议去除效率7</w:t>
            </w:r>
            <w:r>
              <w:t>0%</w:t>
            </w:r>
            <w:r>
              <w:rPr>
                <w:rFonts w:hint="eastAsia"/>
              </w:rPr>
              <w:t>的限值要求。</w:t>
            </w:r>
          </w:p>
          <w:p w14:paraId="4F8ACC75">
            <w:pPr>
              <w:pStyle w:val="28"/>
              <w:ind w:firstLine="480"/>
            </w:pPr>
            <w:r>
              <w:rPr>
                <w:rFonts w:hint="eastAsia"/>
              </w:rPr>
              <w:t>现有工程熔化挤出工序工作时间为</w:t>
            </w:r>
            <w:r>
              <w:t>6000</w:t>
            </w:r>
            <w:r>
              <w:rPr>
                <w:rFonts w:hint="eastAsia"/>
              </w:rPr>
              <w:t>h/a，检测时生产负荷为8</w:t>
            </w:r>
            <w:r>
              <w:t>6</w:t>
            </w:r>
            <w:r>
              <w:rPr>
                <w:rFonts w:hint="eastAsia"/>
              </w:rPr>
              <w:t>%，熔融挤出工序非甲烷总烃最大排放速率为0</w:t>
            </w:r>
            <w:r>
              <w:t>.0200</w:t>
            </w:r>
            <w:r>
              <w:rPr>
                <w:rFonts w:hint="eastAsia"/>
              </w:rPr>
              <w:t>kg/h，则现有工程满负荷生产时熔融挤出工序非甲烷总烃排放量为</w:t>
            </w:r>
            <w:r>
              <w:t>0.1395</w:t>
            </w:r>
            <w:r>
              <w:rPr>
                <w:rFonts w:hint="eastAsia"/>
              </w:rPr>
              <w:t>t/a。</w:t>
            </w:r>
          </w:p>
          <w:p w14:paraId="5B2F4989">
            <w:pPr>
              <w:pStyle w:val="28"/>
              <w:ind w:firstLine="480"/>
            </w:pPr>
            <w:r>
              <w:rPr>
                <w:rFonts w:hint="eastAsia"/>
              </w:rPr>
              <w:t>（二）无组织废气</w:t>
            </w:r>
          </w:p>
          <w:p w14:paraId="4024F67E">
            <w:pPr>
              <w:pStyle w:val="28"/>
              <w:ind w:firstLine="480"/>
            </w:pPr>
            <w:r>
              <w:rPr>
                <w:rFonts w:hint="eastAsia"/>
              </w:rPr>
              <w:t>根据河南摩尔检测有限公司于202</w:t>
            </w:r>
            <w:r>
              <w:t>3</w:t>
            </w:r>
            <w:r>
              <w:rPr>
                <w:rFonts w:hint="eastAsia"/>
              </w:rPr>
              <w:t>年</w:t>
            </w:r>
            <w:r>
              <w:t>5</w:t>
            </w:r>
            <w:r>
              <w:rPr>
                <w:rFonts w:hint="eastAsia"/>
              </w:rPr>
              <w:t>月</w:t>
            </w:r>
            <w:r>
              <w:t>6</w:t>
            </w:r>
            <w:r>
              <w:rPr>
                <w:rFonts w:hint="eastAsia"/>
              </w:rPr>
              <w:t>日出具的检测报告（见附件），非甲烷总烃无组织废气在厂界上、下风向的排放浓度范围为0.</w:t>
            </w:r>
            <w:r>
              <w:t>54</w:t>
            </w:r>
            <w:r>
              <w:rPr>
                <w:rFonts w:hint="eastAsia"/>
              </w:rPr>
              <w:t>-0.</w:t>
            </w:r>
            <w:r>
              <w:t>79</w:t>
            </w:r>
            <w:r>
              <w:rPr>
                <w:rFonts w:hint="eastAsia"/>
              </w:rPr>
              <w:t>mg/m</w:t>
            </w:r>
            <w:r>
              <w:rPr>
                <w:rFonts w:hint="eastAsia"/>
                <w:vertAlign w:val="superscript"/>
              </w:rPr>
              <w:t>3</w:t>
            </w:r>
            <w:r>
              <w:rPr>
                <w:rFonts w:hint="eastAsia"/>
              </w:rPr>
              <w:t>，能够满足《关于全省开展工业企业挥发性有机物专项治理工作中排放建议限值的通知》（豫环攻坚办〔2017〕162号）工业企业边界挥发性有机物排放建议值非甲烷总烃2.0 mg/m</w:t>
            </w:r>
            <w:r>
              <w:rPr>
                <w:rFonts w:hint="eastAsia"/>
                <w:vertAlign w:val="superscript"/>
              </w:rPr>
              <w:t>3</w:t>
            </w:r>
            <w:r>
              <w:rPr>
                <w:rFonts w:hint="eastAsia"/>
              </w:rPr>
              <w:t>的限值要求。</w:t>
            </w:r>
          </w:p>
          <w:p w14:paraId="651124ED">
            <w:pPr>
              <w:pStyle w:val="28"/>
              <w:ind w:firstLine="480"/>
            </w:pPr>
            <w:r>
              <w:rPr>
                <w:rFonts w:hint="eastAsia"/>
              </w:rPr>
              <w:t>2、废水</w:t>
            </w:r>
          </w:p>
          <w:p w14:paraId="5DC27A2D">
            <w:pPr>
              <w:pStyle w:val="28"/>
              <w:ind w:firstLine="480"/>
            </w:pPr>
            <w:r>
              <w:rPr>
                <w:rFonts w:hint="eastAsia"/>
              </w:rPr>
              <w:t>现有工程废水为生活污水和清洗工序、甩干工序、水喷淋塔产生的生产废水。</w:t>
            </w:r>
          </w:p>
          <w:p w14:paraId="08D607A3">
            <w:pPr>
              <w:pStyle w:val="28"/>
              <w:ind w:firstLine="480"/>
            </w:pPr>
            <w:r>
              <w:rPr>
                <w:rFonts w:hint="eastAsia"/>
              </w:rPr>
              <w:t>生产废水经厂内污水处理站处理后部分回用于清洗工序，其余部分与经化粪池处理后的生活污水共同经管网排入获嘉县香山家园污水处理厂进一步处理。</w:t>
            </w:r>
          </w:p>
          <w:p w14:paraId="315C91EB">
            <w:pPr>
              <w:pStyle w:val="28"/>
              <w:ind w:firstLine="480"/>
            </w:pPr>
            <w:r>
              <w:rPr>
                <w:rFonts w:hint="eastAsia"/>
              </w:rPr>
              <w:t>河南摩尔检测有限公司于202</w:t>
            </w:r>
            <w:r>
              <w:t>3</w:t>
            </w:r>
            <w:r>
              <w:rPr>
                <w:rFonts w:hint="eastAsia"/>
              </w:rPr>
              <w:t>年</w:t>
            </w:r>
            <w:r>
              <w:t>4</w:t>
            </w:r>
            <w:r>
              <w:rPr>
                <w:rFonts w:hint="eastAsia"/>
              </w:rPr>
              <w:t>月</w:t>
            </w:r>
            <w:r>
              <w:t>27</w:t>
            </w:r>
            <w:r>
              <w:rPr>
                <w:rFonts w:hint="eastAsia"/>
              </w:rPr>
              <w:t>日对现有工程废水排放口进行了现场检测，并于202</w:t>
            </w:r>
            <w:r>
              <w:t>3</w:t>
            </w:r>
            <w:r>
              <w:rPr>
                <w:rFonts w:hint="eastAsia"/>
              </w:rPr>
              <w:t>年</w:t>
            </w:r>
            <w:r>
              <w:t>5</w:t>
            </w:r>
            <w:r>
              <w:rPr>
                <w:rFonts w:hint="eastAsia"/>
              </w:rPr>
              <w:t>月</w:t>
            </w:r>
            <w:r>
              <w:t>6</w:t>
            </w:r>
            <w:r>
              <w:rPr>
                <w:rFonts w:hint="eastAsia"/>
              </w:rPr>
              <w:t>日出具了检测报告（见附件），具体情况如下：</w:t>
            </w:r>
          </w:p>
          <w:p w14:paraId="7ACD25A4">
            <w:pPr>
              <w:pStyle w:val="67"/>
              <w:ind w:firstLine="480"/>
            </w:pPr>
            <w:r>
              <w:rPr>
                <w:rFonts w:hint="eastAsia"/>
              </w:rPr>
              <w:t xml:space="preserve">               现有工程废水排放口情况一览表</w:t>
            </w:r>
          </w:p>
          <w:tbl>
            <w:tblPr>
              <w:tblStyle w:val="21"/>
              <w:tblW w:w="8047"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4"/>
              <w:gridCol w:w="1751"/>
              <w:gridCol w:w="2835"/>
              <w:gridCol w:w="2197"/>
            </w:tblGrid>
            <w:tr w14:paraId="5278F39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4" w:type="dxa"/>
                  <w:tcBorders>
                    <w:top w:val="single" w:color="auto" w:sz="4" w:space="0"/>
                    <w:left w:val="nil"/>
                    <w:bottom w:val="single" w:color="auto" w:sz="6" w:space="0"/>
                    <w:right w:val="single" w:color="auto" w:sz="6" w:space="0"/>
                  </w:tcBorders>
                  <w:vAlign w:val="center"/>
                </w:tcPr>
                <w:p w14:paraId="34FA26D2">
                  <w:pPr>
                    <w:pStyle w:val="86"/>
                    <w:rPr>
                      <w:sz w:val="24"/>
                      <w:szCs w:val="24"/>
                    </w:rPr>
                  </w:pPr>
                  <w:r>
                    <w:rPr>
                      <w:rFonts w:hint="eastAsia"/>
                    </w:rPr>
                    <w:t>检测点位</w:t>
                  </w:r>
                </w:p>
              </w:tc>
              <w:tc>
                <w:tcPr>
                  <w:tcW w:w="1751" w:type="dxa"/>
                  <w:tcBorders>
                    <w:top w:val="single" w:color="auto" w:sz="4" w:space="0"/>
                    <w:left w:val="nil"/>
                    <w:bottom w:val="single" w:color="auto" w:sz="6" w:space="0"/>
                    <w:right w:val="single" w:color="auto" w:sz="6" w:space="0"/>
                  </w:tcBorders>
                  <w:vAlign w:val="center"/>
                </w:tcPr>
                <w:p w14:paraId="7BB019FB">
                  <w:pPr>
                    <w:pStyle w:val="86"/>
                    <w:rPr>
                      <w:rFonts w:hint="eastAsia"/>
                    </w:rPr>
                  </w:pPr>
                  <w:r>
                    <w:rPr>
                      <w:rFonts w:hint="eastAsia"/>
                    </w:rPr>
                    <w:t>检测时间</w:t>
                  </w:r>
                </w:p>
              </w:tc>
              <w:tc>
                <w:tcPr>
                  <w:tcW w:w="2835" w:type="dxa"/>
                  <w:tcBorders>
                    <w:top w:val="single" w:color="auto" w:sz="4" w:space="0"/>
                    <w:left w:val="nil"/>
                    <w:bottom w:val="single" w:color="auto" w:sz="6" w:space="0"/>
                    <w:right w:val="single" w:color="auto" w:sz="6" w:space="0"/>
                  </w:tcBorders>
                  <w:vAlign w:val="center"/>
                </w:tcPr>
                <w:p w14:paraId="2DE1AE44">
                  <w:pPr>
                    <w:pStyle w:val="86"/>
                    <w:rPr>
                      <w:rFonts w:hint="eastAsia"/>
                    </w:rPr>
                  </w:pPr>
                  <w:r>
                    <w:rPr>
                      <w:rFonts w:hint="eastAsia"/>
                    </w:rPr>
                    <w:t>检测项目</w:t>
                  </w:r>
                </w:p>
              </w:tc>
              <w:tc>
                <w:tcPr>
                  <w:tcW w:w="2197" w:type="dxa"/>
                  <w:tcBorders>
                    <w:top w:val="single" w:color="auto" w:sz="4" w:space="0"/>
                    <w:left w:val="nil"/>
                    <w:bottom w:val="single" w:color="auto" w:sz="6" w:space="0"/>
                    <w:right w:val="nil"/>
                  </w:tcBorders>
                  <w:vAlign w:val="center"/>
                </w:tcPr>
                <w:p w14:paraId="45E738C0">
                  <w:pPr>
                    <w:pStyle w:val="86"/>
                    <w:rPr>
                      <w:rFonts w:hint="eastAsia"/>
                    </w:rPr>
                  </w:pPr>
                  <w:r>
                    <w:rPr>
                      <w:rFonts w:hint="eastAsia"/>
                    </w:rPr>
                    <w:t>检测结果</w:t>
                  </w:r>
                </w:p>
              </w:tc>
            </w:tr>
            <w:tr w14:paraId="7CF51DC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4" w:type="dxa"/>
                  <w:vMerge w:val="restart"/>
                  <w:tcBorders>
                    <w:top w:val="nil"/>
                    <w:left w:val="nil"/>
                    <w:bottom w:val="single" w:color="auto" w:sz="4" w:space="0"/>
                    <w:right w:val="single" w:color="auto" w:sz="6" w:space="0"/>
                  </w:tcBorders>
                  <w:vAlign w:val="center"/>
                </w:tcPr>
                <w:p w14:paraId="0526D463">
                  <w:pPr>
                    <w:pStyle w:val="86"/>
                    <w:rPr>
                      <w:rFonts w:hint="eastAsia"/>
                    </w:rPr>
                  </w:pPr>
                  <w:r>
                    <w:rPr>
                      <w:rFonts w:hint="eastAsia"/>
                    </w:rPr>
                    <w:t>废水排放口</w:t>
                  </w:r>
                </w:p>
              </w:tc>
              <w:tc>
                <w:tcPr>
                  <w:tcW w:w="1751" w:type="dxa"/>
                  <w:vMerge w:val="restart"/>
                  <w:tcBorders>
                    <w:top w:val="nil"/>
                    <w:left w:val="nil"/>
                    <w:bottom w:val="single" w:color="auto" w:sz="4" w:space="0"/>
                    <w:right w:val="single" w:color="auto" w:sz="6" w:space="0"/>
                  </w:tcBorders>
                  <w:vAlign w:val="center"/>
                </w:tcPr>
                <w:p w14:paraId="3DAE813A">
                  <w:pPr>
                    <w:pStyle w:val="86"/>
                    <w:rPr>
                      <w:rFonts w:hint="eastAsia"/>
                    </w:rPr>
                  </w:pPr>
                  <w:r>
                    <w:t>2023.4.27</w:t>
                  </w:r>
                </w:p>
                <w:p w14:paraId="6AA06ECD">
                  <w:pPr>
                    <w:pStyle w:val="86"/>
                    <w:rPr>
                      <w:rFonts w:hint="eastAsia"/>
                    </w:rPr>
                  </w:pPr>
                  <w:r>
                    <w:rPr>
                      <w:rFonts w:hint="eastAsia"/>
                    </w:rPr>
                    <w:t>（</w:t>
                  </w:r>
                  <w:r>
                    <w:t>13:10</w:t>
                  </w:r>
                  <w:r>
                    <w:rPr>
                      <w:rFonts w:hint="eastAsia"/>
                    </w:rPr>
                    <w:t>）</w:t>
                  </w:r>
                </w:p>
              </w:tc>
              <w:tc>
                <w:tcPr>
                  <w:tcW w:w="2835" w:type="dxa"/>
                  <w:tcBorders>
                    <w:top w:val="single" w:color="auto" w:sz="6" w:space="0"/>
                    <w:left w:val="nil"/>
                    <w:bottom w:val="single" w:color="auto" w:sz="6" w:space="0"/>
                    <w:right w:val="single" w:color="auto" w:sz="6" w:space="0"/>
                  </w:tcBorders>
                  <w:vAlign w:val="center"/>
                </w:tcPr>
                <w:p w14:paraId="27C79B6C">
                  <w:pPr>
                    <w:pStyle w:val="86"/>
                    <w:rPr>
                      <w:rFonts w:hint="eastAsia"/>
                    </w:rPr>
                  </w:pPr>
                  <w:r>
                    <w:t>pH</w:t>
                  </w:r>
                  <w:r>
                    <w:rPr>
                      <w:rFonts w:hint="eastAsia"/>
                    </w:rPr>
                    <w:t>值</w:t>
                  </w:r>
                </w:p>
              </w:tc>
              <w:tc>
                <w:tcPr>
                  <w:tcW w:w="2197" w:type="dxa"/>
                  <w:tcBorders>
                    <w:top w:val="single" w:color="auto" w:sz="6" w:space="0"/>
                    <w:left w:val="nil"/>
                    <w:bottom w:val="single" w:color="auto" w:sz="6" w:space="0"/>
                    <w:right w:val="nil"/>
                  </w:tcBorders>
                  <w:vAlign w:val="center"/>
                </w:tcPr>
                <w:p w14:paraId="2FA235C2">
                  <w:pPr>
                    <w:pStyle w:val="86"/>
                    <w:rPr>
                      <w:rFonts w:hint="eastAsia"/>
                    </w:rPr>
                  </w:pPr>
                  <w:r>
                    <w:t>7.8</w:t>
                  </w:r>
                </w:p>
              </w:tc>
            </w:tr>
            <w:tr w14:paraId="70489B8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4" w:type="dxa"/>
                  <w:vMerge w:val="continue"/>
                  <w:tcBorders>
                    <w:top w:val="nil"/>
                    <w:left w:val="nil"/>
                    <w:bottom w:val="single" w:color="auto" w:sz="4" w:space="0"/>
                    <w:right w:val="single" w:color="auto" w:sz="6" w:space="0"/>
                  </w:tcBorders>
                  <w:vAlign w:val="center"/>
                </w:tcPr>
                <w:p w14:paraId="628548DE">
                  <w:pPr>
                    <w:pStyle w:val="86"/>
                    <w:rPr>
                      <w:rFonts w:ascii="宋体" w:hAnsi="宋体"/>
                      <w:color w:val="000000"/>
                      <w:sz w:val="24"/>
                      <w:szCs w:val="24"/>
                    </w:rPr>
                  </w:pPr>
                </w:p>
              </w:tc>
              <w:tc>
                <w:tcPr>
                  <w:tcW w:w="1751" w:type="dxa"/>
                  <w:vMerge w:val="continue"/>
                  <w:tcBorders>
                    <w:top w:val="nil"/>
                    <w:left w:val="nil"/>
                    <w:bottom w:val="single" w:color="auto" w:sz="4" w:space="0"/>
                    <w:right w:val="single" w:color="auto" w:sz="6" w:space="0"/>
                  </w:tcBorders>
                  <w:vAlign w:val="center"/>
                </w:tcPr>
                <w:p w14:paraId="2E494F2E">
                  <w:pPr>
                    <w:pStyle w:val="86"/>
                    <w:rPr>
                      <w:rFonts w:ascii="宋体" w:hAnsi="宋体"/>
                      <w:color w:val="000000"/>
                      <w:sz w:val="24"/>
                      <w:szCs w:val="24"/>
                    </w:rPr>
                  </w:pPr>
                </w:p>
              </w:tc>
              <w:tc>
                <w:tcPr>
                  <w:tcW w:w="2835" w:type="dxa"/>
                  <w:tcBorders>
                    <w:top w:val="single" w:color="auto" w:sz="6" w:space="0"/>
                    <w:left w:val="nil"/>
                    <w:bottom w:val="single" w:color="auto" w:sz="6" w:space="0"/>
                    <w:right w:val="single" w:color="auto" w:sz="6" w:space="0"/>
                  </w:tcBorders>
                  <w:vAlign w:val="center"/>
                </w:tcPr>
                <w:p w14:paraId="4D6F6C14">
                  <w:pPr>
                    <w:pStyle w:val="86"/>
                    <w:rPr>
                      <w:rFonts w:hint="eastAsia"/>
                    </w:rPr>
                  </w:pPr>
                  <w:r>
                    <w:rPr>
                      <w:rFonts w:hint="eastAsia"/>
                    </w:rPr>
                    <w:t>化学需氧量（</w:t>
                  </w:r>
                  <w:r>
                    <w:t>mg/L</w:t>
                  </w:r>
                  <w:r>
                    <w:rPr>
                      <w:rFonts w:hint="eastAsia"/>
                    </w:rPr>
                    <w:t>）</w:t>
                  </w:r>
                </w:p>
              </w:tc>
              <w:tc>
                <w:tcPr>
                  <w:tcW w:w="2197" w:type="dxa"/>
                  <w:tcBorders>
                    <w:top w:val="single" w:color="auto" w:sz="6" w:space="0"/>
                    <w:left w:val="nil"/>
                    <w:bottom w:val="single" w:color="auto" w:sz="6" w:space="0"/>
                    <w:right w:val="nil"/>
                  </w:tcBorders>
                  <w:vAlign w:val="center"/>
                </w:tcPr>
                <w:p w14:paraId="46922956">
                  <w:pPr>
                    <w:pStyle w:val="86"/>
                    <w:rPr>
                      <w:rFonts w:hint="eastAsia"/>
                    </w:rPr>
                  </w:pPr>
                  <w:r>
                    <w:t>262</w:t>
                  </w:r>
                </w:p>
              </w:tc>
            </w:tr>
            <w:tr w14:paraId="0F78C1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4" w:type="dxa"/>
                  <w:vMerge w:val="continue"/>
                  <w:tcBorders>
                    <w:top w:val="nil"/>
                    <w:left w:val="nil"/>
                    <w:bottom w:val="single" w:color="auto" w:sz="4" w:space="0"/>
                    <w:right w:val="single" w:color="auto" w:sz="6" w:space="0"/>
                  </w:tcBorders>
                  <w:vAlign w:val="center"/>
                </w:tcPr>
                <w:p w14:paraId="2C84BC8E">
                  <w:pPr>
                    <w:pStyle w:val="86"/>
                    <w:rPr>
                      <w:rFonts w:ascii="宋体" w:hAnsi="宋体"/>
                      <w:color w:val="000000"/>
                      <w:sz w:val="24"/>
                      <w:szCs w:val="24"/>
                    </w:rPr>
                  </w:pPr>
                </w:p>
              </w:tc>
              <w:tc>
                <w:tcPr>
                  <w:tcW w:w="1751" w:type="dxa"/>
                  <w:vMerge w:val="continue"/>
                  <w:tcBorders>
                    <w:top w:val="nil"/>
                    <w:left w:val="nil"/>
                    <w:bottom w:val="single" w:color="auto" w:sz="4" w:space="0"/>
                    <w:right w:val="single" w:color="auto" w:sz="6" w:space="0"/>
                  </w:tcBorders>
                  <w:vAlign w:val="center"/>
                </w:tcPr>
                <w:p w14:paraId="7B4253F2">
                  <w:pPr>
                    <w:pStyle w:val="86"/>
                    <w:rPr>
                      <w:rFonts w:ascii="宋体" w:hAnsi="宋体"/>
                      <w:color w:val="000000"/>
                      <w:sz w:val="24"/>
                      <w:szCs w:val="24"/>
                    </w:rPr>
                  </w:pPr>
                </w:p>
              </w:tc>
              <w:tc>
                <w:tcPr>
                  <w:tcW w:w="2835" w:type="dxa"/>
                  <w:tcBorders>
                    <w:top w:val="single" w:color="auto" w:sz="6" w:space="0"/>
                    <w:left w:val="nil"/>
                    <w:bottom w:val="single" w:color="auto" w:sz="6" w:space="0"/>
                    <w:right w:val="single" w:color="auto" w:sz="6" w:space="0"/>
                  </w:tcBorders>
                  <w:vAlign w:val="center"/>
                </w:tcPr>
                <w:p w14:paraId="3A9B6C3E">
                  <w:pPr>
                    <w:pStyle w:val="86"/>
                    <w:rPr>
                      <w:rFonts w:hint="eastAsia"/>
                    </w:rPr>
                  </w:pPr>
                  <w:r>
                    <w:rPr>
                      <w:rFonts w:hint="eastAsia"/>
                    </w:rPr>
                    <w:t>氨氮（</w:t>
                  </w:r>
                  <w:r>
                    <w:t>mg/L</w:t>
                  </w:r>
                  <w:r>
                    <w:rPr>
                      <w:rFonts w:hint="eastAsia"/>
                    </w:rPr>
                    <w:t>）</w:t>
                  </w:r>
                </w:p>
              </w:tc>
              <w:tc>
                <w:tcPr>
                  <w:tcW w:w="2197" w:type="dxa"/>
                  <w:tcBorders>
                    <w:top w:val="single" w:color="auto" w:sz="6" w:space="0"/>
                    <w:left w:val="nil"/>
                    <w:bottom w:val="single" w:color="auto" w:sz="6" w:space="0"/>
                    <w:right w:val="nil"/>
                  </w:tcBorders>
                  <w:vAlign w:val="center"/>
                </w:tcPr>
                <w:p w14:paraId="77944DC7">
                  <w:pPr>
                    <w:pStyle w:val="86"/>
                    <w:rPr>
                      <w:rFonts w:hint="eastAsia"/>
                    </w:rPr>
                  </w:pPr>
                  <w:r>
                    <w:t>2.58</w:t>
                  </w:r>
                </w:p>
              </w:tc>
            </w:tr>
            <w:tr w14:paraId="651489C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4" w:type="dxa"/>
                  <w:vMerge w:val="continue"/>
                  <w:tcBorders>
                    <w:top w:val="nil"/>
                    <w:left w:val="nil"/>
                    <w:bottom w:val="single" w:color="auto" w:sz="4" w:space="0"/>
                    <w:right w:val="single" w:color="auto" w:sz="6" w:space="0"/>
                  </w:tcBorders>
                  <w:vAlign w:val="center"/>
                </w:tcPr>
                <w:p w14:paraId="26A54A29">
                  <w:pPr>
                    <w:pStyle w:val="86"/>
                    <w:rPr>
                      <w:rFonts w:ascii="宋体" w:hAnsi="宋体"/>
                      <w:color w:val="000000"/>
                      <w:sz w:val="24"/>
                      <w:szCs w:val="24"/>
                    </w:rPr>
                  </w:pPr>
                </w:p>
              </w:tc>
              <w:tc>
                <w:tcPr>
                  <w:tcW w:w="1751" w:type="dxa"/>
                  <w:vMerge w:val="continue"/>
                  <w:tcBorders>
                    <w:top w:val="nil"/>
                    <w:left w:val="nil"/>
                    <w:bottom w:val="single" w:color="auto" w:sz="4" w:space="0"/>
                    <w:right w:val="single" w:color="auto" w:sz="6" w:space="0"/>
                  </w:tcBorders>
                  <w:vAlign w:val="center"/>
                </w:tcPr>
                <w:p w14:paraId="2E1AD2E0">
                  <w:pPr>
                    <w:pStyle w:val="86"/>
                    <w:rPr>
                      <w:rFonts w:ascii="宋体" w:hAnsi="宋体"/>
                      <w:color w:val="000000"/>
                      <w:sz w:val="24"/>
                      <w:szCs w:val="24"/>
                    </w:rPr>
                  </w:pPr>
                </w:p>
              </w:tc>
              <w:tc>
                <w:tcPr>
                  <w:tcW w:w="2835" w:type="dxa"/>
                  <w:tcBorders>
                    <w:top w:val="single" w:color="auto" w:sz="6" w:space="0"/>
                    <w:left w:val="nil"/>
                    <w:bottom w:val="single" w:color="auto" w:sz="6" w:space="0"/>
                    <w:right w:val="single" w:color="auto" w:sz="6" w:space="0"/>
                  </w:tcBorders>
                  <w:vAlign w:val="center"/>
                </w:tcPr>
                <w:p w14:paraId="561895E5">
                  <w:pPr>
                    <w:pStyle w:val="86"/>
                    <w:rPr>
                      <w:rFonts w:hint="eastAsia"/>
                    </w:rPr>
                  </w:pPr>
                  <w:r>
                    <w:rPr>
                      <w:rFonts w:hint="eastAsia"/>
                    </w:rPr>
                    <w:t>悬浮物（</w:t>
                  </w:r>
                  <w:r>
                    <w:t>mg/L</w:t>
                  </w:r>
                  <w:r>
                    <w:rPr>
                      <w:rFonts w:hint="eastAsia"/>
                    </w:rPr>
                    <w:t>）</w:t>
                  </w:r>
                </w:p>
              </w:tc>
              <w:tc>
                <w:tcPr>
                  <w:tcW w:w="2197" w:type="dxa"/>
                  <w:tcBorders>
                    <w:top w:val="single" w:color="auto" w:sz="6" w:space="0"/>
                    <w:left w:val="nil"/>
                    <w:bottom w:val="single" w:color="auto" w:sz="6" w:space="0"/>
                    <w:right w:val="nil"/>
                  </w:tcBorders>
                  <w:vAlign w:val="center"/>
                </w:tcPr>
                <w:p w14:paraId="083B46B7">
                  <w:pPr>
                    <w:pStyle w:val="86"/>
                    <w:rPr>
                      <w:rFonts w:hint="eastAsia"/>
                    </w:rPr>
                  </w:pPr>
                  <w:r>
                    <w:t>32</w:t>
                  </w:r>
                </w:p>
              </w:tc>
            </w:tr>
            <w:tr w14:paraId="64CAAA0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4" w:type="dxa"/>
                  <w:vMerge w:val="continue"/>
                  <w:tcBorders>
                    <w:top w:val="nil"/>
                    <w:left w:val="nil"/>
                    <w:bottom w:val="single" w:color="auto" w:sz="4" w:space="0"/>
                    <w:right w:val="single" w:color="auto" w:sz="6" w:space="0"/>
                  </w:tcBorders>
                  <w:vAlign w:val="center"/>
                </w:tcPr>
                <w:p w14:paraId="5FF5C8EB">
                  <w:pPr>
                    <w:pStyle w:val="86"/>
                    <w:rPr>
                      <w:rFonts w:ascii="宋体" w:hAnsi="宋体"/>
                      <w:color w:val="000000"/>
                      <w:sz w:val="24"/>
                      <w:szCs w:val="24"/>
                    </w:rPr>
                  </w:pPr>
                </w:p>
              </w:tc>
              <w:tc>
                <w:tcPr>
                  <w:tcW w:w="1751" w:type="dxa"/>
                  <w:vMerge w:val="continue"/>
                  <w:tcBorders>
                    <w:top w:val="nil"/>
                    <w:left w:val="nil"/>
                    <w:bottom w:val="single" w:color="auto" w:sz="4" w:space="0"/>
                    <w:right w:val="single" w:color="auto" w:sz="6" w:space="0"/>
                  </w:tcBorders>
                  <w:vAlign w:val="center"/>
                </w:tcPr>
                <w:p w14:paraId="7329B95B">
                  <w:pPr>
                    <w:pStyle w:val="86"/>
                    <w:rPr>
                      <w:rFonts w:ascii="宋体" w:hAnsi="宋体"/>
                      <w:color w:val="000000"/>
                      <w:sz w:val="24"/>
                      <w:szCs w:val="24"/>
                    </w:rPr>
                  </w:pPr>
                </w:p>
              </w:tc>
              <w:tc>
                <w:tcPr>
                  <w:tcW w:w="2835" w:type="dxa"/>
                  <w:tcBorders>
                    <w:top w:val="single" w:color="auto" w:sz="6" w:space="0"/>
                    <w:left w:val="nil"/>
                    <w:bottom w:val="single" w:color="auto" w:sz="6" w:space="0"/>
                    <w:right w:val="single" w:color="auto" w:sz="6" w:space="0"/>
                  </w:tcBorders>
                  <w:vAlign w:val="center"/>
                </w:tcPr>
                <w:p w14:paraId="22B8DE08">
                  <w:pPr>
                    <w:pStyle w:val="86"/>
                    <w:rPr>
                      <w:rFonts w:hint="eastAsia"/>
                    </w:rPr>
                  </w:pPr>
                  <w:r>
                    <w:rPr>
                      <w:rFonts w:hint="eastAsia"/>
                    </w:rPr>
                    <w:t>总磷（</w:t>
                  </w:r>
                  <w:r>
                    <w:t>mg/L</w:t>
                  </w:r>
                  <w:r>
                    <w:rPr>
                      <w:rFonts w:hint="eastAsia"/>
                    </w:rPr>
                    <w:t>）</w:t>
                  </w:r>
                </w:p>
              </w:tc>
              <w:tc>
                <w:tcPr>
                  <w:tcW w:w="2197" w:type="dxa"/>
                  <w:tcBorders>
                    <w:top w:val="single" w:color="auto" w:sz="6" w:space="0"/>
                    <w:left w:val="nil"/>
                    <w:bottom w:val="single" w:color="auto" w:sz="6" w:space="0"/>
                    <w:right w:val="nil"/>
                  </w:tcBorders>
                  <w:vAlign w:val="center"/>
                </w:tcPr>
                <w:p w14:paraId="292AAA0E">
                  <w:pPr>
                    <w:pStyle w:val="86"/>
                    <w:rPr>
                      <w:rFonts w:hint="eastAsia"/>
                    </w:rPr>
                  </w:pPr>
                  <w:r>
                    <w:t>0.71</w:t>
                  </w:r>
                </w:p>
              </w:tc>
            </w:tr>
            <w:tr w14:paraId="2E0D9AF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4" w:type="dxa"/>
                  <w:vMerge w:val="continue"/>
                  <w:tcBorders>
                    <w:top w:val="nil"/>
                    <w:left w:val="nil"/>
                    <w:bottom w:val="single" w:color="auto" w:sz="4" w:space="0"/>
                    <w:right w:val="single" w:color="auto" w:sz="6" w:space="0"/>
                  </w:tcBorders>
                  <w:vAlign w:val="center"/>
                </w:tcPr>
                <w:p w14:paraId="4DEAEC85">
                  <w:pPr>
                    <w:pStyle w:val="86"/>
                    <w:rPr>
                      <w:rFonts w:ascii="宋体" w:hAnsi="宋体"/>
                      <w:color w:val="000000"/>
                      <w:sz w:val="24"/>
                      <w:szCs w:val="24"/>
                    </w:rPr>
                  </w:pPr>
                </w:p>
              </w:tc>
              <w:tc>
                <w:tcPr>
                  <w:tcW w:w="1751" w:type="dxa"/>
                  <w:vMerge w:val="continue"/>
                  <w:tcBorders>
                    <w:top w:val="nil"/>
                    <w:left w:val="nil"/>
                    <w:bottom w:val="single" w:color="auto" w:sz="4" w:space="0"/>
                    <w:right w:val="single" w:color="auto" w:sz="6" w:space="0"/>
                  </w:tcBorders>
                  <w:vAlign w:val="center"/>
                </w:tcPr>
                <w:p w14:paraId="488099CF">
                  <w:pPr>
                    <w:pStyle w:val="86"/>
                    <w:rPr>
                      <w:rFonts w:ascii="宋体" w:hAnsi="宋体"/>
                      <w:color w:val="000000"/>
                      <w:sz w:val="24"/>
                      <w:szCs w:val="24"/>
                    </w:rPr>
                  </w:pPr>
                </w:p>
              </w:tc>
              <w:tc>
                <w:tcPr>
                  <w:tcW w:w="2835" w:type="dxa"/>
                  <w:tcBorders>
                    <w:top w:val="single" w:color="auto" w:sz="6" w:space="0"/>
                    <w:left w:val="nil"/>
                    <w:bottom w:val="single" w:color="auto" w:sz="6" w:space="0"/>
                    <w:right w:val="single" w:color="auto" w:sz="6" w:space="0"/>
                  </w:tcBorders>
                  <w:vAlign w:val="center"/>
                </w:tcPr>
                <w:p w14:paraId="08997ED5">
                  <w:pPr>
                    <w:pStyle w:val="86"/>
                    <w:rPr>
                      <w:rFonts w:hint="eastAsia"/>
                    </w:rPr>
                  </w:pPr>
                  <w:r>
                    <w:rPr>
                      <w:rFonts w:hint="eastAsia"/>
                    </w:rPr>
                    <w:t>石油类（</w:t>
                  </w:r>
                  <w:r>
                    <w:t>mg/L</w:t>
                  </w:r>
                  <w:r>
                    <w:rPr>
                      <w:rFonts w:hint="eastAsia"/>
                    </w:rPr>
                    <w:t>）</w:t>
                  </w:r>
                </w:p>
              </w:tc>
              <w:tc>
                <w:tcPr>
                  <w:tcW w:w="2197" w:type="dxa"/>
                  <w:tcBorders>
                    <w:top w:val="single" w:color="auto" w:sz="6" w:space="0"/>
                    <w:left w:val="nil"/>
                    <w:bottom w:val="single" w:color="auto" w:sz="6" w:space="0"/>
                    <w:right w:val="nil"/>
                  </w:tcBorders>
                  <w:vAlign w:val="center"/>
                </w:tcPr>
                <w:p w14:paraId="03A362B0">
                  <w:pPr>
                    <w:pStyle w:val="86"/>
                    <w:rPr>
                      <w:rFonts w:hint="eastAsia"/>
                    </w:rPr>
                  </w:pPr>
                  <w:r>
                    <w:t>0.06L</w:t>
                  </w:r>
                </w:p>
              </w:tc>
            </w:tr>
            <w:tr w14:paraId="41270D2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4" w:type="dxa"/>
                  <w:vMerge w:val="continue"/>
                  <w:tcBorders>
                    <w:top w:val="nil"/>
                    <w:left w:val="nil"/>
                    <w:bottom w:val="single" w:color="auto" w:sz="4" w:space="0"/>
                    <w:right w:val="single" w:color="auto" w:sz="6" w:space="0"/>
                  </w:tcBorders>
                  <w:vAlign w:val="center"/>
                </w:tcPr>
                <w:p w14:paraId="5AFF6CFE">
                  <w:pPr>
                    <w:pStyle w:val="86"/>
                    <w:rPr>
                      <w:rFonts w:ascii="宋体" w:hAnsi="宋体"/>
                      <w:color w:val="000000"/>
                      <w:sz w:val="24"/>
                      <w:szCs w:val="24"/>
                    </w:rPr>
                  </w:pPr>
                </w:p>
              </w:tc>
              <w:tc>
                <w:tcPr>
                  <w:tcW w:w="1751" w:type="dxa"/>
                  <w:vMerge w:val="continue"/>
                  <w:tcBorders>
                    <w:top w:val="nil"/>
                    <w:left w:val="nil"/>
                    <w:bottom w:val="single" w:color="auto" w:sz="4" w:space="0"/>
                    <w:right w:val="single" w:color="auto" w:sz="6" w:space="0"/>
                  </w:tcBorders>
                  <w:vAlign w:val="center"/>
                </w:tcPr>
                <w:p w14:paraId="14053600">
                  <w:pPr>
                    <w:pStyle w:val="86"/>
                    <w:rPr>
                      <w:rFonts w:ascii="宋体" w:hAnsi="宋体"/>
                      <w:color w:val="000000"/>
                      <w:sz w:val="24"/>
                      <w:szCs w:val="24"/>
                    </w:rPr>
                  </w:pPr>
                </w:p>
              </w:tc>
              <w:tc>
                <w:tcPr>
                  <w:tcW w:w="2835" w:type="dxa"/>
                  <w:tcBorders>
                    <w:top w:val="single" w:color="auto" w:sz="6" w:space="0"/>
                    <w:left w:val="nil"/>
                    <w:bottom w:val="single" w:color="auto" w:sz="4" w:space="0"/>
                    <w:right w:val="single" w:color="auto" w:sz="6" w:space="0"/>
                  </w:tcBorders>
                  <w:vAlign w:val="center"/>
                </w:tcPr>
                <w:p w14:paraId="26F55CCB">
                  <w:pPr>
                    <w:pStyle w:val="86"/>
                    <w:rPr>
                      <w:rFonts w:hint="eastAsia"/>
                    </w:rPr>
                  </w:pPr>
                  <w:r>
                    <w:rPr>
                      <w:rFonts w:hint="eastAsia"/>
                    </w:rPr>
                    <w:t>样品状态</w:t>
                  </w:r>
                </w:p>
              </w:tc>
              <w:tc>
                <w:tcPr>
                  <w:tcW w:w="2197" w:type="dxa"/>
                  <w:tcBorders>
                    <w:top w:val="single" w:color="auto" w:sz="6" w:space="0"/>
                    <w:left w:val="nil"/>
                    <w:bottom w:val="single" w:color="auto" w:sz="4" w:space="0"/>
                    <w:right w:val="nil"/>
                  </w:tcBorders>
                  <w:vAlign w:val="center"/>
                </w:tcPr>
                <w:p w14:paraId="2DF59377">
                  <w:pPr>
                    <w:pStyle w:val="86"/>
                    <w:rPr>
                      <w:rFonts w:hint="eastAsia"/>
                    </w:rPr>
                  </w:pPr>
                  <w:r>
                    <w:rPr>
                      <w:rFonts w:hint="eastAsia"/>
                    </w:rPr>
                    <w:t>浑浊、浅棕</w:t>
                  </w:r>
                </w:p>
              </w:tc>
            </w:tr>
          </w:tbl>
          <w:p w14:paraId="7767FB02">
            <w:pPr>
              <w:pStyle w:val="28"/>
              <w:ind w:firstLine="480"/>
            </w:pPr>
            <w:r>
              <w:rPr>
                <w:rFonts w:hint="eastAsia"/>
              </w:rPr>
              <w:t>根据上表可知，废水排放口水质能够满足获嘉县香山家园污水处理厂收水标准化学需氧量</w:t>
            </w:r>
            <w:r>
              <w:t>420</w:t>
            </w:r>
            <w:r>
              <w:rPr>
                <w:rFonts w:hint="eastAsia"/>
              </w:rPr>
              <w:t xml:space="preserve"> mg/L、</w:t>
            </w:r>
            <w:r>
              <w:t>SS 200</w:t>
            </w:r>
            <w:r>
              <w:rPr>
                <w:rFonts w:hint="eastAsia"/>
              </w:rPr>
              <w:t>mg/L、氨氮</w:t>
            </w:r>
            <w:r>
              <w:t>4</w:t>
            </w:r>
            <w:r>
              <w:rPr>
                <w:rFonts w:hint="eastAsia"/>
              </w:rPr>
              <w:t>0mg/L、总磷4mg/L的限值要求。</w:t>
            </w:r>
          </w:p>
          <w:p w14:paraId="1456DAFE">
            <w:pPr>
              <w:pStyle w:val="28"/>
              <w:ind w:firstLine="480"/>
            </w:pPr>
            <w:r>
              <w:rPr>
                <w:rFonts w:hint="eastAsia"/>
              </w:rPr>
              <w:t>根据新乡市嘉福宝科技有限公司排污许可证执行年报（2</w:t>
            </w:r>
            <w:r>
              <w:t>023</w:t>
            </w:r>
            <w:r>
              <w:rPr>
                <w:rFonts w:hint="eastAsia"/>
              </w:rPr>
              <w:t>年）中数据可知，现有工程2</w:t>
            </w:r>
            <w:r>
              <w:t>023</w:t>
            </w:r>
            <w:r>
              <w:rPr>
                <w:rFonts w:hint="eastAsia"/>
              </w:rPr>
              <w:t>年产能为1</w:t>
            </w:r>
            <w:r>
              <w:t>800</w:t>
            </w:r>
            <w:r>
              <w:rPr>
                <w:rFonts w:hint="eastAsia"/>
              </w:rPr>
              <w:t>t，外排水量为1</w:t>
            </w:r>
            <w:r>
              <w:t>60</w:t>
            </w:r>
            <w:r>
              <w:rPr>
                <w:rFonts w:hint="eastAsia"/>
              </w:rPr>
              <w:t>t，则现有工程2</w:t>
            </w:r>
            <w:r>
              <w:t>023</w:t>
            </w:r>
            <w:r>
              <w:rPr>
                <w:rFonts w:hint="eastAsia"/>
              </w:rPr>
              <w:t>年满负荷生产工况下外排水量为</w:t>
            </w:r>
            <w:r>
              <w:t>888.9</w:t>
            </w:r>
            <w:r>
              <w:rPr>
                <w:rFonts w:hint="eastAsia"/>
              </w:rPr>
              <w:t>t，则现有工程废水污染物出厂排放量为化学需氧量</w:t>
            </w:r>
            <w:r>
              <w:t>0.2329</w:t>
            </w:r>
            <w:r>
              <w:rPr>
                <w:rFonts w:hint="eastAsia"/>
              </w:rPr>
              <w:t>t/a、S</w:t>
            </w:r>
            <w:r>
              <w:t>S 0.0284</w:t>
            </w:r>
            <w:r>
              <w:rPr>
                <w:rFonts w:hint="eastAsia"/>
              </w:rPr>
              <w:t>t/a、氨氮</w:t>
            </w:r>
            <w:r>
              <w:t>0.0023</w:t>
            </w:r>
            <w:r>
              <w:rPr>
                <w:rFonts w:hint="eastAsia"/>
              </w:rPr>
              <w:t>t/a、总磷</w:t>
            </w:r>
            <w:r>
              <w:t>0.0006</w:t>
            </w:r>
            <w:r>
              <w:rPr>
                <w:rFonts w:hint="eastAsia"/>
              </w:rPr>
              <w:t>t/a；获嘉县香山家园污水处理厂的排水标准为化学需氧量</w:t>
            </w:r>
            <w:r>
              <w:t>40</w:t>
            </w:r>
            <w:r>
              <w:rPr>
                <w:rFonts w:hint="eastAsia"/>
              </w:rPr>
              <w:t>mg/L、S</w:t>
            </w:r>
            <w:r>
              <w:t>S10</w:t>
            </w:r>
            <w:r>
              <w:rPr>
                <w:rFonts w:hint="eastAsia"/>
              </w:rPr>
              <w:t>mg/L、氨氮</w:t>
            </w:r>
            <w:r>
              <w:t>2</w:t>
            </w:r>
            <w:r>
              <w:rPr>
                <w:rFonts w:hint="eastAsia"/>
              </w:rPr>
              <w:t>mg/L、总磷</w:t>
            </w:r>
            <w:r>
              <w:t>0.4</w:t>
            </w:r>
            <w:r>
              <w:rPr>
                <w:rFonts w:hint="eastAsia"/>
              </w:rPr>
              <w:t>mg/L、总氮15mg/L，则现有工程废水排入环境量为化学需氧量</w:t>
            </w:r>
            <w:r>
              <w:t>0.0356</w:t>
            </w:r>
            <w:r>
              <w:rPr>
                <w:rFonts w:hint="eastAsia"/>
              </w:rPr>
              <w:t>t/a、S</w:t>
            </w:r>
            <w:r>
              <w:t>S 0.0089</w:t>
            </w:r>
            <w:r>
              <w:rPr>
                <w:rFonts w:hint="eastAsia"/>
              </w:rPr>
              <w:t>t/a、氨氮</w:t>
            </w:r>
            <w:r>
              <w:t>0.0018</w:t>
            </w:r>
            <w:r>
              <w:rPr>
                <w:rFonts w:hint="eastAsia"/>
              </w:rPr>
              <w:t>t/a、总磷</w:t>
            </w:r>
            <w:r>
              <w:t>0.0004</w:t>
            </w:r>
            <w:r>
              <w:rPr>
                <w:rFonts w:hint="eastAsia"/>
              </w:rPr>
              <w:t>t/a、总氮</w:t>
            </w:r>
            <w:r>
              <w:t>0.0</w:t>
            </w:r>
            <w:r>
              <w:rPr>
                <w:rFonts w:hint="eastAsia"/>
              </w:rPr>
              <w:t>133t/a。</w:t>
            </w:r>
          </w:p>
          <w:p w14:paraId="631BFF90">
            <w:pPr>
              <w:pStyle w:val="28"/>
              <w:ind w:firstLine="480"/>
            </w:pPr>
            <w:r>
              <w:rPr>
                <w:rFonts w:hint="eastAsia"/>
              </w:rPr>
              <w:t>3、噪声</w:t>
            </w:r>
          </w:p>
          <w:p w14:paraId="4428277B">
            <w:pPr>
              <w:pStyle w:val="28"/>
              <w:ind w:firstLine="480"/>
            </w:pPr>
            <w:r>
              <w:rPr>
                <w:rFonts w:hint="eastAsia"/>
              </w:rPr>
              <w:t>现有工程主要高噪声设备为破碎机、甩干机等设备，根据河南琢磨检测研究院有限公司于2024年03月11日出具的检测报告（见附件），现有工程厂界噪声值为昼间55-57dB（A）、夜间47-48dB（A），能够满足《工业企业厂界环境噪声排放标准》（GB12348-2008）</w:t>
            </w:r>
            <w:r>
              <w:t>3</w:t>
            </w:r>
            <w:r>
              <w:rPr>
                <w:rFonts w:hint="eastAsia"/>
              </w:rPr>
              <w:t>类标准昼间6</w:t>
            </w:r>
            <w:r>
              <w:t>5</w:t>
            </w:r>
            <w:r>
              <w:rPr>
                <w:rFonts w:hint="eastAsia"/>
              </w:rPr>
              <w:t>dB（A）、夜间5</w:t>
            </w:r>
            <w:r>
              <w:t>5</w:t>
            </w:r>
            <w:r>
              <w:rPr>
                <w:rFonts w:hint="eastAsia"/>
              </w:rPr>
              <w:t>dB（A）的限值要求。</w:t>
            </w:r>
          </w:p>
          <w:p w14:paraId="537F704D">
            <w:pPr>
              <w:pStyle w:val="28"/>
              <w:ind w:firstLine="480"/>
            </w:pPr>
            <w:r>
              <w:rPr>
                <w:rFonts w:hint="eastAsia"/>
              </w:rPr>
              <w:t>4、固体废物</w:t>
            </w:r>
          </w:p>
          <w:p w14:paraId="5B0412E9">
            <w:pPr>
              <w:pStyle w:val="28"/>
              <w:ind w:firstLine="480"/>
            </w:pPr>
            <w:r>
              <w:rPr>
                <w:rFonts w:hint="eastAsia"/>
              </w:rPr>
              <w:t>现有工程产生的一般固废主要为边角料（</w:t>
            </w:r>
            <w:r>
              <w:t>20</w:t>
            </w:r>
            <w:r>
              <w:rPr>
                <w:rFonts w:hint="eastAsia"/>
              </w:rPr>
              <w:t>t/a）、污水处理站污泥（</w:t>
            </w:r>
            <w:r>
              <w:t>100</w:t>
            </w:r>
            <w:r>
              <w:rPr>
                <w:rFonts w:hint="eastAsia"/>
              </w:rPr>
              <w:t>t/a）、废过滤网（</w:t>
            </w:r>
            <w:r>
              <w:t>15</w:t>
            </w:r>
            <w:r>
              <w:rPr>
                <w:rFonts w:hint="eastAsia"/>
              </w:rPr>
              <w:t>t/a），其中边角料回用于生产工序，污泥经板框压滤机脱水后委托环卫部门处理，废过滤网委托有处理能力且符合环保要求的企业进行处理。危险废物主要为废油（0.6t/a）、废活性炭（</w:t>
            </w:r>
            <w:r>
              <w:t>5</w:t>
            </w:r>
            <w:r>
              <w:rPr>
                <w:rFonts w:hint="eastAsia"/>
              </w:rPr>
              <w:t>t/a）、废催化剂（</w:t>
            </w:r>
            <w:r>
              <w:t>0.25</w:t>
            </w:r>
            <w:r>
              <w:rPr>
                <w:rFonts w:hint="eastAsia"/>
              </w:rPr>
              <w:t>t/</w:t>
            </w:r>
            <w:r>
              <w:t>5</w:t>
            </w:r>
            <w:r>
              <w:rPr>
                <w:rFonts w:hint="eastAsia"/>
              </w:rPr>
              <w:t>a），分类收集至危废暂存间暂存，定期交由有相应类别危废处理资质单位安全处置。一般工业固体废物贮存过程满足《一般工业固体废物贮存和填埋污染控制标准》（GB18599-2020）中防渗漏、防雨淋、防扬尘等环境保护要求；现有危废暂存间已采用防风、防晒、防雨淋、防扬散、防流失、防渗漏等措施，符合《危险废物贮存污染控制标准》（GB 18597-2023）的要求。</w:t>
            </w:r>
          </w:p>
          <w:p w14:paraId="465665C9">
            <w:pPr>
              <w:pStyle w:val="28"/>
              <w:ind w:firstLine="480"/>
            </w:pPr>
            <w:r>
              <w:rPr>
                <w:rFonts w:hint="eastAsia"/>
              </w:rPr>
              <w:t>三、现有工程污染物排放情况</w:t>
            </w:r>
          </w:p>
          <w:p w14:paraId="7B8BB47F">
            <w:pPr>
              <w:pStyle w:val="28"/>
              <w:ind w:firstLine="480"/>
            </w:pPr>
            <w:r>
              <w:rPr>
                <w:rFonts w:hint="eastAsia"/>
              </w:rPr>
              <w:t>具体情况见下表：</w:t>
            </w:r>
          </w:p>
          <w:p w14:paraId="22FC1FDD">
            <w:pPr>
              <w:pStyle w:val="67"/>
              <w:ind w:firstLine="480"/>
            </w:pPr>
            <w:r>
              <w:rPr>
                <w:rFonts w:hint="eastAsia"/>
              </w:rPr>
              <w:t xml:space="preserve">             现有工程废气污染物排放情况        单位：t/a</w:t>
            </w:r>
          </w:p>
          <w:tbl>
            <w:tblPr>
              <w:tblStyle w:val="20"/>
              <w:tblW w:w="4934"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02"/>
              <w:gridCol w:w="1532"/>
              <w:gridCol w:w="2016"/>
              <w:gridCol w:w="2346"/>
              <w:gridCol w:w="1723"/>
            </w:tblGrid>
            <w:tr w14:paraId="157775C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77" w:type="pct"/>
                  <w:vAlign w:val="center"/>
                </w:tcPr>
                <w:p w14:paraId="22B08D7A">
                  <w:pPr>
                    <w:pStyle w:val="86"/>
                    <w:rPr>
                      <w:b/>
                      <w:bCs w:val="0"/>
                    </w:rPr>
                  </w:pPr>
                  <w:r>
                    <w:rPr>
                      <w:b/>
                      <w:bCs w:val="0"/>
                    </w:rPr>
                    <w:t>类别</w:t>
                  </w:r>
                </w:p>
              </w:tc>
              <w:tc>
                <w:tcPr>
                  <w:tcW w:w="910" w:type="pct"/>
                  <w:vAlign w:val="center"/>
                </w:tcPr>
                <w:p w14:paraId="6A304115">
                  <w:pPr>
                    <w:pStyle w:val="86"/>
                    <w:rPr>
                      <w:b/>
                      <w:bCs w:val="0"/>
                    </w:rPr>
                  </w:pPr>
                  <w:r>
                    <w:rPr>
                      <w:b/>
                      <w:bCs w:val="0"/>
                    </w:rPr>
                    <w:t>污染物</w:t>
                  </w:r>
                </w:p>
              </w:tc>
              <w:tc>
                <w:tcPr>
                  <w:tcW w:w="1197" w:type="pct"/>
                  <w:vAlign w:val="center"/>
                </w:tcPr>
                <w:p w14:paraId="583DB292">
                  <w:pPr>
                    <w:pStyle w:val="86"/>
                    <w:rPr>
                      <w:b/>
                      <w:bCs w:val="0"/>
                    </w:rPr>
                  </w:pPr>
                  <w:r>
                    <w:rPr>
                      <w:rFonts w:hint="eastAsia"/>
                      <w:b/>
                      <w:bCs w:val="0"/>
                    </w:rPr>
                    <w:t>实际</w:t>
                  </w:r>
                  <w:r>
                    <w:rPr>
                      <w:b/>
                      <w:bCs w:val="0"/>
                    </w:rPr>
                    <w:t>排放量</w:t>
                  </w:r>
                </w:p>
              </w:tc>
              <w:tc>
                <w:tcPr>
                  <w:tcW w:w="1393" w:type="pct"/>
                  <w:vAlign w:val="center"/>
                </w:tcPr>
                <w:p w14:paraId="51F8731D">
                  <w:pPr>
                    <w:pStyle w:val="86"/>
                    <w:rPr>
                      <w:b/>
                      <w:bCs w:val="0"/>
                    </w:rPr>
                  </w:pPr>
                  <w:r>
                    <w:rPr>
                      <w:rFonts w:hint="eastAsia"/>
                      <w:b/>
                      <w:bCs w:val="0"/>
                    </w:rPr>
                    <w:t>环评批复</w:t>
                  </w:r>
                  <w:r>
                    <w:rPr>
                      <w:b/>
                      <w:bCs w:val="0"/>
                    </w:rPr>
                    <w:t>排放量</w:t>
                  </w:r>
                </w:p>
              </w:tc>
              <w:tc>
                <w:tcPr>
                  <w:tcW w:w="1023" w:type="pct"/>
                  <w:vAlign w:val="center"/>
                </w:tcPr>
                <w:p w14:paraId="436504D7">
                  <w:pPr>
                    <w:pStyle w:val="86"/>
                    <w:rPr>
                      <w:b/>
                      <w:bCs w:val="0"/>
                    </w:rPr>
                  </w:pPr>
                  <w:r>
                    <w:rPr>
                      <w:rFonts w:hint="eastAsia"/>
                      <w:b/>
                      <w:bCs w:val="0"/>
                    </w:rPr>
                    <w:t>排污许可证许可量</w:t>
                  </w:r>
                </w:p>
              </w:tc>
            </w:tr>
            <w:tr w14:paraId="768B9B8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77" w:type="pct"/>
                  <w:vAlign w:val="center"/>
                </w:tcPr>
                <w:p w14:paraId="22ED8286">
                  <w:pPr>
                    <w:pStyle w:val="86"/>
                  </w:pPr>
                  <w:r>
                    <w:t>废气</w:t>
                  </w:r>
                </w:p>
              </w:tc>
              <w:tc>
                <w:tcPr>
                  <w:tcW w:w="910" w:type="pct"/>
                  <w:vAlign w:val="center"/>
                </w:tcPr>
                <w:p w14:paraId="0CB50980">
                  <w:pPr>
                    <w:pStyle w:val="86"/>
                  </w:pPr>
                  <w:r>
                    <w:rPr>
                      <w:rFonts w:hint="eastAsia"/>
                    </w:rPr>
                    <w:t>非甲烷总烃</w:t>
                  </w:r>
                </w:p>
              </w:tc>
              <w:tc>
                <w:tcPr>
                  <w:tcW w:w="1197" w:type="pct"/>
                  <w:vAlign w:val="center"/>
                </w:tcPr>
                <w:p w14:paraId="183A3D88">
                  <w:pPr>
                    <w:pStyle w:val="86"/>
                  </w:pPr>
                  <w:r>
                    <w:t>0.1395</w:t>
                  </w:r>
                </w:p>
              </w:tc>
              <w:tc>
                <w:tcPr>
                  <w:tcW w:w="1393" w:type="pct"/>
                  <w:vAlign w:val="center"/>
                </w:tcPr>
                <w:p w14:paraId="0D574F92">
                  <w:pPr>
                    <w:pStyle w:val="86"/>
                  </w:pPr>
                  <w:r>
                    <w:t>2.3631</w:t>
                  </w:r>
                </w:p>
              </w:tc>
              <w:tc>
                <w:tcPr>
                  <w:tcW w:w="1023" w:type="pct"/>
                  <w:vAlign w:val="center"/>
                </w:tcPr>
                <w:p w14:paraId="69943A40">
                  <w:pPr>
                    <w:pStyle w:val="86"/>
                  </w:pPr>
                  <w:r>
                    <w:t>/</w:t>
                  </w:r>
                </w:p>
              </w:tc>
            </w:tr>
          </w:tbl>
          <w:p w14:paraId="232D0AD2">
            <w:pPr>
              <w:pStyle w:val="67"/>
              <w:ind w:firstLine="480"/>
            </w:pPr>
            <w:r>
              <w:rPr>
                <w:rFonts w:hint="eastAsia"/>
              </w:rPr>
              <w:tab/>
            </w:r>
            <w:r>
              <w:rPr>
                <w:rFonts w:hint="eastAsia"/>
              </w:rPr>
              <w:t xml:space="preserve">             现有工程废水污染物排放情况        单位：t/a</w:t>
            </w:r>
          </w:p>
          <w:tbl>
            <w:tblPr>
              <w:tblStyle w:val="20"/>
              <w:tblW w:w="4852"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5"/>
              <w:gridCol w:w="1172"/>
              <w:gridCol w:w="985"/>
              <w:gridCol w:w="1260"/>
              <w:gridCol w:w="1007"/>
              <w:gridCol w:w="1260"/>
              <w:gridCol w:w="881"/>
              <w:gridCol w:w="1229"/>
            </w:tblGrid>
            <w:tr w14:paraId="285258C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1" w:type="pct"/>
                  <w:gridSpan w:val="2"/>
                  <w:vMerge w:val="restart"/>
                  <w:vAlign w:val="center"/>
                </w:tcPr>
                <w:p w14:paraId="778D2F22">
                  <w:pPr>
                    <w:pStyle w:val="86"/>
                    <w:rPr>
                      <w:b/>
                      <w:bCs w:val="0"/>
                      <w:szCs w:val="21"/>
                    </w:rPr>
                  </w:pPr>
                  <w:r>
                    <w:rPr>
                      <w:b/>
                      <w:bCs w:val="0"/>
                    </w:rPr>
                    <w:t>项目</w:t>
                  </w:r>
                </w:p>
              </w:tc>
              <w:tc>
                <w:tcPr>
                  <w:tcW w:w="1356" w:type="pct"/>
                  <w:gridSpan w:val="2"/>
                  <w:vAlign w:val="center"/>
                </w:tcPr>
                <w:p w14:paraId="7E561778">
                  <w:pPr>
                    <w:pStyle w:val="86"/>
                    <w:rPr>
                      <w:b/>
                      <w:bCs w:val="0"/>
                    </w:rPr>
                  </w:pPr>
                  <w:r>
                    <w:rPr>
                      <w:b/>
                      <w:bCs w:val="0"/>
                    </w:rPr>
                    <w:t>实际排放量</w:t>
                  </w:r>
                </w:p>
              </w:tc>
              <w:tc>
                <w:tcPr>
                  <w:tcW w:w="1369" w:type="pct"/>
                  <w:gridSpan w:val="2"/>
                  <w:vAlign w:val="center"/>
                </w:tcPr>
                <w:p w14:paraId="47CF5AFE">
                  <w:pPr>
                    <w:pStyle w:val="86"/>
                    <w:rPr>
                      <w:b/>
                      <w:bCs w:val="0"/>
                    </w:rPr>
                  </w:pPr>
                  <w:r>
                    <w:rPr>
                      <w:rFonts w:hint="eastAsia"/>
                      <w:b/>
                      <w:bCs w:val="0"/>
                    </w:rPr>
                    <w:t>环评允许排放量</w:t>
                  </w:r>
                </w:p>
              </w:tc>
              <w:tc>
                <w:tcPr>
                  <w:tcW w:w="1274" w:type="pct"/>
                  <w:gridSpan w:val="2"/>
                  <w:vAlign w:val="center"/>
                </w:tcPr>
                <w:p w14:paraId="78E29A9C">
                  <w:pPr>
                    <w:pStyle w:val="86"/>
                    <w:rPr>
                      <w:b/>
                      <w:bCs w:val="0"/>
                    </w:rPr>
                  </w:pPr>
                  <w:r>
                    <w:rPr>
                      <w:rFonts w:hint="eastAsia"/>
                      <w:b/>
                      <w:bCs w:val="0"/>
                    </w:rPr>
                    <w:t>排污证许可排放量</w:t>
                  </w:r>
                </w:p>
              </w:tc>
            </w:tr>
            <w:tr w14:paraId="4FB8DB3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gridSpan w:val="2"/>
                  <w:vMerge w:val="continue"/>
                  <w:vAlign w:val="center"/>
                </w:tcPr>
                <w:p w14:paraId="7A2542FA">
                  <w:pPr>
                    <w:pStyle w:val="86"/>
                    <w:rPr>
                      <w:b/>
                      <w:bCs w:val="0"/>
                      <w:szCs w:val="21"/>
                    </w:rPr>
                  </w:pPr>
                </w:p>
              </w:tc>
              <w:tc>
                <w:tcPr>
                  <w:tcW w:w="595" w:type="pct"/>
                  <w:vAlign w:val="center"/>
                </w:tcPr>
                <w:p w14:paraId="02876BDB">
                  <w:pPr>
                    <w:pStyle w:val="86"/>
                    <w:rPr>
                      <w:b/>
                      <w:bCs w:val="0"/>
                    </w:rPr>
                  </w:pPr>
                  <w:r>
                    <w:rPr>
                      <w:rFonts w:hint="eastAsia"/>
                      <w:b/>
                      <w:bCs w:val="0"/>
                    </w:rPr>
                    <w:t>出厂量</w:t>
                  </w:r>
                </w:p>
              </w:tc>
              <w:tc>
                <w:tcPr>
                  <w:tcW w:w="761" w:type="pct"/>
                  <w:vAlign w:val="center"/>
                </w:tcPr>
                <w:p w14:paraId="20416DED">
                  <w:pPr>
                    <w:pStyle w:val="86"/>
                    <w:rPr>
                      <w:b/>
                      <w:bCs w:val="0"/>
                    </w:rPr>
                  </w:pPr>
                  <w:r>
                    <w:rPr>
                      <w:rFonts w:hint="eastAsia"/>
                      <w:b/>
                      <w:bCs w:val="0"/>
                    </w:rPr>
                    <w:t>排入环境量</w:t>
                  </w:r>
                </w:p>
              </w:tc>
              <w:tc>
                <w:tcPr>
                  <w:tcW w:w="608" w:type="pct"/>
                  <w:vAlign w:val="center"/>
                </w:tcPr>
                <w:p w14:paraId="0922EDE0">
                  <w:pPr>
                    <w:pStyle w:val="86"/>
                    <w:rPr>
                      <w:b/>
                      <w:bCs w:val="0"/>
                    </w:rPr>
                  </w:pPr>
                  <w:r>
                    <w:rPr>
                      <w:rFonts w:hint="eastAsia"/>
                      <w:b/>
                      <w:bCs w:val="0"/>
                    </w:rPr>
                    <w:t>出厂量</w:t>
                  </w:r>
                </w:p>
              </w:tc>
              <w:tc>
                <w:tcPr>
                  <w:tcW w:w="761" w:type="pct"/>
                  <w:vAlign w:val="center"/>
                </w:tcPr>
                <w:p w14:paraId="1C0C6D83">
                  <w:pPr>
                    <w:pStyle w:val="86"/>
                    <w:rPr>
                      <w:b/>
                      <w:bCs w:val="0"/>
                    </w:rPr>
                  </w:pPr>
                  <w:r>
                    <w:rPr>
                      <w:rFonts w:hint="eastAsia"/>
                      <w:b/>
                      <w:bCs w:val="0"/>
                    </w:rPr>
                    <w:t>排入环境量</w:t>
                  </w:r>
                </w:p>
              </w:tc>
              <w:tc>
                <w:tcPr>
                  <w:tcW w:w="532" w:type="pct"/>
                  <w:vAlign w:val="center"/>
                </w:tcPr>
                <w:p w14:paraId="23D20AD7">
                  <w:pPr>
                    <w:pStyle w:val="86"/>
                    <w:rPr>
                      <w:b/>
                      <w:bCs w:val="0"/>
                    </w:rPr>
                  </w:pPr>
                  <w:r>
                    <w:rPr>
                      <w:rFonts w:hint="eastAsia"/>
                      <w:b/>
                      <w:bCs w:val="0"/>
                    </w:rPr>
                    <w:t>出厂量</w:t>
                  </w:r>
                </w:p>
              </w:tc>
              <w:tc>
                <w:tcPr>
                  <w:tcW w:w="742" w:type="pct"/>
                  <w:vAlign w:val="center"/>
                </w:tcPr>
                <w:p w14:paraId="4BF6A230">
                  <w:pPr>
                    <w:pStyle w:val="86"/>
                    <w:rPr>
                      <w:b/>
                      <w:bCs w:val="0"/>
                    </w:rPr>
                  </w:pPr>
                  <w:r>
                    <w:rPr>
                      <w:rFonts w:hint="eastAsia"/>
                      <w:b/>
                      <w:bCs w:val="0"/>
                    </w:rPr>
                    <w:t>排入环境量</w:t>
                  </w:r>
                </w:p>
              </w:tc>
            </w:tr>
            <w:tr w14:paraId="0762DA5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restart"/>
                  <w:vAlign w:val="center"/>
                </w:tcPr>
                <w:p w14:paraId="0FDE32F6">
                  <w:pPr>
                    <w:pStyle w:val="86"/>
                  </w:pPr>
                  <w:r>
                    <w:rPr>
                      <w:rFonts w:hint="eastAsia"/>
                    </w:rPr>
                    <w:t>废水</w:t>
                  </w:r>
                </w:p>
              </w:tc>
              <w:tc>
                <w:tcPr>
                  <w:tcW w:w="708" w:type="pct"/>
                  <w:vAlign w:val="center"/>
                </w:tcPr>
                <w:p w14:paraId="5A55C93A">
                  <w:pPr>
                    <w:pStyle w:val="86"/>
                  </w:pPr>
                  <w:r>
                    <w:rPr>
                      <w:rFonts w:hint="eastAsia"/>
                    </w:rPr>
                    <w:t>化学需氧量</w:t>
                  </w:r>
                </w:p>
              </w:tc>
              <w:tc>
                <w:tcPr>
                  <w:tcW w:w="595" w:type="pct"/>
                  <w:vAlign w:val="center"/>
                </w:tcPr>
                <w:p w14:paraId="2815A950">
                  <w:pPr>
                    <w:pStyle w:val="86"/>
                    <w:rPr>
                      <w:color w:val="FF0000"/>
                    </w:rPr>
                  </w:pPr>
                  <w:r>
                    <w:rPr>
                      <w:color w:val="000000"/>
                      <w:szCs w:val="21"/>
                    </w:rPr>
                    <w:t xml:space="preserve">0.0356 </w:t>
                  </w:r>
                </w:p>
              </w:tc>
              <w:tc>
                <w:tcPr>
                  <w:tcW w:w="761" w:type="pct"/>
                  <w:vAlign w:val="center"/>
                </w:tcPr>
                <w:p w14:paraId="620D2379">
                  <w:pPr>
                    <w:pStyle w:val="86"/>
                    <w:rPr>
                      <w:color w:val="FF0000"/>
                    </w:rPr>
                  </w:pPr>
                  <w:r>
                    <w:rPr>
                      <w:color w:val="000000"/>
                      <w:szCs w:val="21"/>
                    </w:rPr>
                    <w:t xml:space="preserve">0.0356 </w:t>
                  </w:r>
                </w:p>
              </w:tc>
              <w:tc>
                <w:tcPr>
                  <w:tcW w:w="608" w:type="pct"/>
                  <w:vAlign w:val="center"/>
                </w:tcPr>
                <w:p w14:paraId="2D16C8C0">
                  <w:pPr>
                    <w:pStyle w:val="86"/>
                  </w:pPr>
                  <w:r>
                    <w:t>0.9148</w:t>
                  </w:r>
                </w:p>
              </w:tc>
              <w:tc>
                <w:tcPr>
                  <w:tcW w:w="761" w:type="pct"/>
                  <w:vAlign w:val="center"/>
                </w:tcPr>
                <w:p w14:paraId="5E2047E3">
                  <w:pPr>
                    <w:pStyle w:val="86"/>
                  </w:pPr>
                  <w:r>
                    <w:t>0.2023</w:t>
                  </w:r>
                </w:p>
              </w:tc>
              <w:tc>
                <w:tcPr>
                  <w:tcW w:w="532" w:type="pct"/>
                  <w:vAlign w:val="center"/>
                </w:tcPr>
                <w:p w14:paraId="1772BD03">
                  <w:pPr>
                    <w:pStyle w:val="86"/>
                  </w:pPr>
                  <w:r>
                    <w:t>/</w:t>
                  </w:r>
                </w:p>
              </w:tc>
              <w:tc>
                <w:tcPr>
                  <w:tcW w:w="742" w:type="pct"/>
                  <w:vAlign w:val="center"/>
                </w:tcPr>
                <w:p w14:paraId="27C9E4FF">
                  <w:pPr>
                    <w:pStyle w:val="86"/>
                  </w:pPr>
                  <w:r>
                    <w:t>/</w:t>
                  </w:r>
                </w:p>
              </w:tc>
            </w:tr>
            <w:tr w14:paraId="6B0D435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vAlign w:val="center"/>
                </w:tcPr>
                <w:p w14:paraId="4815EC7E">
                  <w:pPr>
                    <w:pStyle w:val="86"/>
                  </w:pPr>
                </w:p>
              </w:tc>
              <w:tc>
                <w:tcPr>
                  <w:tcW w:w="708" w:type="pct"/>
                  <w:vAlign w:val="center"/>
                </w:tcPr>
                <w:p w14:paraId="0C1E67F5">
                  <w:pPr>
                    <w:pStyle w:val="86"/>
                  </w:pPr>
                  <w:r>
                    <w:rPr>
                      <w:rFonts w:hint="eastAsia"/>
                    </w:rPr>
                    <w:t>悬浮物</w:t>
                  </w:r>
                </w:p>
              </w:tc>
              <w:tc>
                <w:tcPr>
                  <w:tcW w:w="595" w:type="pct"/>
                  <w:vAlign w:val="center"/>
                </w:tcPr>
                <w:p w14:paraId="0586CEBD">
                  <w:pPr>
                    <w:pStyle w:val="86"/>
                    <w:rPr>
                      <w:color w:val="FF0000"/>
                    </w:rPr>
                  </w:pPr>
                  <w:r>
                    <w:rPr>
                      <w:color w:val="000000"/>
                      <w:szCs w:val="21"/>
                    </w:rPr>
                    <w:t xml:space="preserve">0.0089 </w:t>
                  </w:r>
                </w:p>
              </w:tc>
              <w:tc>
                <w:tcPr>
                  <w:tcW w:w="761" w:type="pct"/>
                  <w:vAlign w:val="center"/>
                </w:tcPr>
                <w:p w14:paraId="1FB5ECFF">
                  <w:pPr>
                    <w:pStyle w:val="86"/>
                    <w:rPr>
                      <w:color w:val="FF0000"/>
                    </w:rPr>
                  </w:pPr>
                  <w:r>
                    <w:rPr>
                      <w:color w:val="000000"/>
                      <w:szCs w:val="21"/>
                    </w:rPr>
                    <w:t xml:space="preserve">0.0089 </w:t>
                  </w:r>
                </w:p>
              </w:tc>
              <w:tc>
                <w:tcPr>
                  <w:tcW w:w="608" w:type="pct"/>
                  <w:vAlign w:val="center"/>
                </w:tcPr>
                <w:p w14:paraId="2151BF4A">
                  <w:pPr>
                    <w:pStyle w:val="86"/>
                  </w:pPr>
                  <w:r>
                    <w:t>0.0579</w:t>
                  </w:r>
                </w:p>
              </w:tc>
              <w:tc>
                <w:tcPr>
                  <w:tcW w:w="761" w:type="pct"/>
                  <w:vAlign w:val="center"/>
                </w:tcPr>
                <w:p w14:paraId="58244CC1">
                  <w:pPr>
                    <w:pStyle w:val="86"/>
                  </w:pPr>
                  <w:r>
                    <w:rPr>
                      <w:rFonts w:hint="eastAsia"/>
                    </w:rPr>
                    <w:t>/</w:t>
                  </w:r>
                </w:p>
              </w:tc>
              <w:tc>
                <w:tcPr>
                  <w:tcW w:w="532" w:type="pct"/>
                  <w:vAlign w:val="center"/>
                </w:tcPr>
                <w:p w14:paraId="03A15DE9">
                  <w:pPr>
                    <w:pStyle w:val="86"/>
                  </w:pPr>
                  <w:r>
                    <w:rPr>
                      <w:rFonts w:hint="eastAsia"/>
                    </w:rPr>
                    <w:t>/</w:t>
                  </w:r>
                </w:p>
              </w:tc>
              <w:tc>
                <w:tcPr>
                  <w:tcW w:w="742" w:type="pct"/>
                  <w:vAlign w:val="center"/>
                </w:tcPr>
                <w:p w14:paraId="609C664B">
                  <w:pPr>
                    <w:pStyle w:val="86"/>
                  </w:pPr>
                  <w:r>
                    <w:rPr>
                      <w:rFonts w:hint="eastAsia"/>
                    </w:rPr>
                    <w:t>/</w:t>
                  </w:r>
                </w:p>
              </w:tc>
            </w:tr>
            <w:tr w14:paraId="157AD13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vAlign w:val="center"/>
                </w:tcPr>
                <w:p w14:paraId="33EE8070">
                  <w:pPr>
                    <w:pStyle w:val="86"/>
                    <w:rPr>
                      <w:szCs w:val="21"/>
                    </w:rPr>
                  </w:pPr>
                </w:p>
              </w:tc>
              <w:tc>
                <w:tcPr>
                  <w:tcW w:w="708" w:type="pct"/>
                  <w:vAlign w:val="center"/>
                </w:tcPr>
                <w:p w14:paraId="5FC223F3">
                  <w:pPr>
                    <w:pStyle w:val="86"/>
                  </w:pPr>
                  <w:r>
                    <w:rPr>
                      <w:rFonts w:hint="eastAsia"/>
                    </w:rPr>
                    <w:t>氨氮</w:t>
                  </w:r>
                </w:p>
              </w:tc>
              <w:tc>
                <w:tcPr>
                  <w:tcW w:w="595" w:type="pct"/>
                  <w:vAlign w:val="center"/>
                </w:tcPr>
                <w:p w14:paraId="35EA0442">
                  <w:pPr>
                    <w:pStyle w:val="86"/>
                    <w:rPr>
                      <w:color w:val="FF0000"/>
                    </w:rPr>
                  </w:pPr>
                  <w:r>
                    <w:rPr>
                      <w:color w:val="000000"/>
                      <w:szCs w:val="21"/>
                    </w:rPr>
                    <w:t xml:space="preserve">0.0018 </w:t>
                  </w:r>
                </w:p>
              </w:tc>
              <w:tc>
                <w:tcPr>
                  <w:tcW w:w="761" w:type="pct"/>
                  <w:vAlign w:val="center"/>
                </w:tcPr>
                <w:p w14:paraId="6DB22FCA">
                  <w:pPr>
                    <w:pStyle w:val="86"/>
                    <w:rPr>
                      <w:color w:val="FF0000"/>
                    </w:rPr>
                  </w:pPr>
                  <w:r>
                    <w:rPr>
                      <w:color w:val="000000"/>
                      <w:szCs w:val="21"/>
                    </w:rPr>
                    <w:t xml:space="preserve">0.0018 </w:t>
                  </w:r>
                </w:p>
              </w:tc>
              <w:tc>
                <w:tcPr>
                  <w:tcW w:w="608" w:type="pct"/>
                  <w:vAlign w:val="center"/>
                </w:tcPr>
                <w:p w14:paraId="67E05416">
                  <w:pPr>
                    <w:pStyle w:val="86"/>
                  </w:pPr>
                  <w:r>
                    <w:t>0.0239</w:t>
                  </w:r>
                </w:p>
              </w:tc>
              <w:tc>
                <w:tcPr>
                  <w:tcW w:w="761" w:type="pct"/>
                  <w:vAlign w:val="center"/>
                </w:tcPr>
                <w:p w14:paraId="2406CC00">
                  <w:pPr>
                    <w:pStyle w:val="86"/>
                  </w:pPr>
                  <w:r>
                    <w:t>0.0202</w:t>
                  </w:r>
                </w:p>
              </w:tc>
              <w:tc>
                <w:tcPr>
                  <w:tcW w:w="532" w:type="pct"/>
                  <w:vAlign w:val="center"/>
                </w:tcPr>
                <w:p w14:paraId="33CCE714">
                  <w:pPr>
                    <w:pStyle w:val="86"/>
                  </w:pPr>
                  <w:r>
                    <w:t>/</w:t>
                  </w:r>
                </w:p>
              </w:tc>
              <w:tc>
                <w:tcPr>
                  <w:tcW w:w="742" w:type="pct"/>
                  <w:vAlign w:val="center"/>
                </w:tcPr>
                <w:p w14:paraId="56C9C441">
                  <w:pPr>
                    <w:pStyle w:val="86"/>
                  </w:pPr>
                  <w:r>
                    <w:t>/</w:t>
                  </w:r>
                </w:p>
              </w:tc>
            </w:tr>
            <w:tr w14:paraId="3EB2857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vAlign w:val="center"/>
                </w:tcPr>
                <w:p w14:paraId="28E45A71">
                  <w:pPr>
                    <w:pStyle w:val="86"/>
                    <w:rPr>
                      <w:szCs w:val="21"/>
                    </w:rPr>
                  </w:pPr>
                </w:p>
              </w:tc>
              <w:tc>
                <w:tcPr>
                  <w:tcW w:w="708" w:type="pct"/>
                  <w:vAlign w:val="center"/>
                </w:tcPr>
                <w:p w14:paraId="5B6E5E1E">
                  <w:pPr>
                    <w:pStyle w:val="86"/>
                  </w:pPr>
                  <w:r>
                    <w:rPr>
                      <w:rFonts w:hint="eastAsia"/>
                    </w:rPr>
                    <w:t>总磷</w:t>
                  </w:r>
                </w:p>
              </w:tc>
              <w:tc>
                <w:tcPr>
                  <w:tcW w:w="595" w:type="pct"/>
                  <w:vAlign w:val="center"/>
                </w:tcPr>
                <w:p w14:paraId="341D802A">
                  <w:pPr>
                    <w:pStyle w:val="86"/>
                    <w:rPr>
                      <w:color w:val="000000"/>
                      <w:szCs w:val="21"/>
                    </w:rPr>
                  </w:pPr>
                  <w:r>
                    <w:rPr>
                      <w:color w:val="000000"/>
                      <w:szCs w:val="21"/>
                    </w:rPr>
                    <w:t xml:space="preserve">0.0004 </w:t>
                  </w:r>
                </w:p>
              </w:tc>
              <w:tc>
                <w:tcPr>
                  <w:tcW w:w="761" w:type="pct"/>
                  <w:vAlign w:val="center"/>
                </w:tcPr>
                <w:p w14:paraId="6ACA87DF">
                  <w:pPr>
                    <w:pStyle w:val="86"/>
                    <w:rPr>
                      <w:color w:val="000000"/>
                      <w:szCs w:val="21"/>
                    </w:rPr>
                  </w:pPr>
                  <w:r>
                    <w:rPr>
                      <w:color w:val="000000"/>
                      <w:szCs w:val="21"/>
                    </w:rPr>
                    <w:t xml:space="preserve">0.0004 </w:t>
                  </w:r>
                </w:p>
              </w:tc>
              <w:tc>
                <w:tcPr>
                  <w:tcW w:w="608" w:type="pct"/>
                  <w:vAlign w:val="center"/>
                </w:tcPr>
                <w:p w14:paraId="76CB7430">
                  <w:pPr>
                    <w:pStyle w:val="86"/>
                  </w:pPr>
                  <w:r>
                    <w:t>0.0036</w:t>
                  </w:r>
                </w:p>
              </w:tc>
              <w:tc>
                <w:tcPr>
                  <w:tcW w:w="761" w:type="pct"/>
                  <w:vAlign w:val="center"/>
                </w:tcPr>
                <w:p w14:paraId="76355124">
                  <w:pPr>
                    <w:pStyle w:val="86"/>
                  </w:pPr>
                  <w:r>
                    <w:t>0.0020</w:t>
                  </w:r>
                </w:p>
              </w:tc>
              <w:tc>
                <w:tcPr>
                  <w:tcW w:w="532" w:type="pct"/>
                  <w:vAlign w:val="center"/>
                </w:tcPr>
                <w:p w14:paraId="7676CE15">
                  <w:pPr>
                    <w:pStyle w:val="86"/>
                  </w:pPr>
                  <w:r>
                    <w:rPr>
                      <w:rFonts w:hint="eastAsia"/>
                    </w:rPr>
                    <w:t>/</w:t>
                  </w:r>
                </w:p>
              </w:tc>
              <w:tc>
                <w:tcPr>
                  <w:tcW w:w="742" w:type="pct"/>
                  <w:vAlign w:val="center"/>
                </w:tcPr>
                <w:p w14:paraId="46CCED25">
                  <w:pPr>
                    <w:pStyle w:val="86"/>
                  </w:pPr>
                  <w:r>
                    <w:rPr>
                      <w:rFonts w:hint="eastAsia"/>
                    </w:rPr>
                    <w:t>/</w:t>
                  </w:r>
                </w:p>
              </w:tc>
            </w:tr>
            <w:tr w14:paraId="67BC36A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 w:type="pct"/>
                  <w:vMerge w:val="continue"/>
                  <w:vAlign w:val="center"/>
                </w:tcPr>
                <w:p w14:paraId="4554F939">
                  <w:pPr>
                    <w:pStyle w:val="86"/>
                    <w:rPr>
                      <w:szCs w:val="21"/>
                    </w:rPr>
                  </w:pPr>
                </w:p>
              </w:tc>
              <w:tc>
                <w:tcPr>
                  <w:tcW w:w="708" w:type="pct"/>
                  <w:vAlign w:val="center"/>
                </w:tcPr>
                <w:p w14:paraId="67E9D7AC">
                  <w:pPr>
                    <w:pStyle w:val="86"/>
                  </w:pPr>
                  <w:r>
                    <w:rPr>
                      <w:rFonts w:hint="eastAsia"/>
                    </w:rPr>
                    <w:t>总氮</w:t>
                  </w:r>
                </w:p>
              </w:tc>
              <w:tc>
                <w:tcPr>
                  <w:tcW w:w="595" w:type="pct"/>
                  <w:vAlign w:val="center"/>
                </w:tcPr>
                <w:p w14:paraId="1103C4C4">
                  <w:pPr>
                    <w:pStyle w:val="86"/>
                    <w:rPr>
                      <w:color w:val="FF0000"/>
                    </w:rPr>
                  </w:pPr>
                  <w:r>
                    <w:rPr>
                      <w:rFonts w:hint="eastAsia"/>
                      <w:color w:val="000000"/>
                      <w:szCs w:val="21"/>
                    </w:rPr>
                    <w:t>/</w:t>
                  </w:r>
                </w:p>
              </w:tc>
              <w:tc>
                <w:tcPr>
                  <w:tcW w:w="761" w:type="pct"/>
                  <w:vAlign w:val="center"/>
                </w:tcPr>
                <w:p w14:paraId="58A06087">
                  <w:pPr>
                    <w:pStyle w:val="86"/>
                    <w:rPr>
                      <w:color w:val="FF0000"/>
                    </w:rPr>
                  </w:pPr>
                  <w:r>
                    <w:rPr>
                      <w:color w:val="000000"/>
                      <w:szCs w:val="21"/>
                    </w:rPr>
                    <w:t>0.0</w:t>
                  </w:r>
                  <w:r>
                    <w:rPr>
                      <w:rFonts w:hint="eastAsia"/>
                      <w:color w:val="000000"/>
                      <w:szCs w:val="21"/>
                    </w:rPr>
                    <w:t>133</w:t>
                  </w:r>
                </w:p>
              </w:tc>
              <w:tc>
                <w:tcPr>
                  <w:tcW w:w="608" w:type="pct"/>
                  <w:vAlign w:val="center"/>
                </w:tcPr>
                <w:p w14:paraId="1BA40645">
                  <w:pPr>
                    <w:pStyle w:val="86"/>
                  </w:pPr>
                  <w:r>
                    <w:rPr>
                      <w:rFonts w:hint="eastAsia"/>
                    </w:rPr>
                    <w:t>/</w:t>
                  </w:r>
                </w:p>
              </w:tc>
              <w:tc>
                <w:tcPr>
                  <w:tcW w:w="761" w:type="pct"/>
                  <w:vAlign w:val="center"/>
                </w:tcPr>
                <w:p w14:paraId="7E9135C4">
                  <w:pPr>
                    <w:pStyle w:val="86"/>
                  </w:pPr>
                  <w:r>
                    <w:rPr>
                      <w:rFonts w:hint="eastAsia"/>
                    </w:rPr>
                    <w:t>/</w:t>
                  </w:r>
                </w:p>
              </w:tc>
              <w:tc>
                <w:tcPr>
                  <w:tcW w:w="532" w:type="pct"/>
                  <w:vAlign w:val="center"/>
                </w:tcPr>
                <w:p w14:paraId="23C8A2F4">
                  <w:pPr>
                    <w:pStyle w:val="86"/>
                  </w:pPr>
                  <w:r>
                    <w:rPr>
                      <w:rFonts w:hint="eastAsia"/>
                    </w:rPr>
                    <w:t>/</w:t>
                  </w:r>
                </w:p>
              </w:tc>
              <w:tc>
                <w:tcPr>
                  <w:tcW w:w="742" w:type="pct"/>
                  <w:vAlign w:val="center"/>
                </w:tcPr>
                <w:p w14:paraId="63204321">
                  <w:pPr>
                    <w:pStyle w:val="86"/>
                  </w:pPr>
                  <w:r>
                    <w:rPr>
                      <w:rFonts w:hint="eastAsia"/>
                    </w:rPr>
                    <w:t>/</w:t>
                  </w:r>
                </w:p>
              </w:tc>
            </w:tr>
          </w:tbl>
          <w:p w14:paraId="6C3305FD">
            <w:pPr>
              <w:pStyle w:val="28"/>
              <w:ind w:firstLine="480"/>
            </w:pPr>
            <w:r>
              <w:rPr>
                <w:rFonts w:hint="eastAsia"/>
              </w:rPr>
              <w:t>由上可知，现有工程各污染物排放量满足环评允许排放量和排污许可量要求。</w:t>
            </w:r>
          </w:p>
          <w:p w14:paraId="7C79B3EA">
            <w:pPr>
              <w:pStyle w:val="28"/>
              <w:ind w:firstLine="480"/>
            </w:pPr>
            <w:r>
              <w:rPr>
                <w:rFonts w:hint="eastAsia"/>
              </w:rPr>
              <w:t>四、现有工程存在的问题及整改措施</w:t>
            </w:r>
          </w:p>
          <w:p w14:paraId="6A7DCBDC">
            <w:pPr>
              <w:pStyle w:val="28"/>
              <w:ind w:firstLine="480"/>
            </w:pPr>
            <w:r>
              <w:rPr>
                <w:rFonts w:hint="eastAsia"/>
              </w:rPr>
              <w:t>根据现场调查，现有工程不存在问题。</w:t>
            </w:r>
          </w:p>
          <w:p w14:paraId="3E1879B8">
            <w:pPr>
              <w:pStyle w:val="28"/>
              <w:ind w:firstLine="480"/>
            </w:pPr>
          </w:p>
          <w:p w14:paraId="31223DF2">
            <w:pPr>
              <w:pStyle w:val="28"/>
              <w:ind w:firstLine="480"/>
            </w:pPr>
          </w:p>
          <w:p w14:paraId="4D352605">
            <w:pPr>
              <w:pStyle w:val="28"/>
              <w:ind w:firstLine="480"/>
            </w:pPr>
          </w:p>
          <w:p w14:paraId="5FB52294">
            <w:pPr>
              <w:pStyle w:val="28"/>
              <w:ind w:firstLine="480"/>
            </w:pPr>
          </w:p>
          <w:p w14:paraId="69C00BE1">
            <w:pPr>
              <w:pStyle w:val="28"/>
              <w:ind w:firstLine="480"/>
            </w:pPr>
          </w:p>
          <w:p w14:paraId="6E2FB93F">
            <w:pPr>
              <w:pStyle w:val="28"/>
              <w:ind w:firstLine="480"/>
            </w:pPr>
          </w:p>
          <w:p w14:paraId="0CEAF374">
            <w:pPr>
              <w:pStyle w:val="28"/>
              <w:ind w:firstLine="480"/>
            </w:pPr>
          </w:p>
          <w:p w14:paraId="5409FFD1">
            <w:pPr>
              <w:pStyle w:val="28"/>
              <w:ind w:firstLine="480"/>
            </w:pPr>
          </w:p>
          <w:p w14:paraId="2A65BC54">
            <w:pPr>
              <w:pStyle w:val="28"/>
              <w:ind w:firstLine="480"/>
            </w:pPr>
          </w:p>
          <w:p w14:paraId="619C7823">
            <w:pPr>
              <w:pStyle w:val="28"/>
              <w:ind w:firstLine="480"/>
            </w:pPr>
          </w:p>
          <w:p w14:paraId="53324CAD">
            <w:pPr>
              <w:pStyle w:val="28"/>
              <w:ind w:firstLine="480"/>
            </w:pPr>
          </w:p>
          <w:p w14:paraId="63A7DB2F">
            <w:pPr>
              <w:pStyle w:val="28"/>
              <w:ind w:firstLine="480"/>
            </w:pPr>
          </w:p>
          <w:p w14:paraId="77B872C9">
            <w:pPr>
              <w:pStyle w:val="28"/>
              <w:ind w:firstLine="480"/>
            </w:pPr>
          </w:p>
          <w:p w14:paraId="1A2FC336">
            <w:pPr>
              <w:pStyle w:val="28"/>
              <w:ind w:firstLine="480"/>
            </w:pPr>
          </w:p>
          <w:p w14:paraId="5B8712BA">
            <w:pPr>
              <w:pStyle w:val="28"/>
              <w:ind w:firstLine="480"/>
              <w:rPr>
                <w:rFonts w:hint="eastAsia"/>
              </w:rPr>
            </w:pPr>
          </w:p>
          <w:p w14:paraId="284A514B">
            <w:pPr>
              <w:pStyle w:val="28"/>
              <w:ind w:firstLine="480"/>
            </w:pPr>
          </w:p>
          <w:p w14:paraId="20FF6EEC">
            <w:pPr>
              <w:pStyle w:val="28"/>
              <w:ind w:firstLine="480"/>
            </w:pPr>
          </w:p>
        </w:tc>
      </w:tr>
    </w:tbl>
    <w:p w14:paraId="3DAD2ED8">
      <w:pPr>
        <w:pStyle w:val="15"/>
        <w:ind w:firstLine="720"/>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14:paraId="1DE4259F">
      <w:pPr>
        <w:pStyle w:val="15"/>
        <w:adjustRightInd w:val="0"/>
        <w:snapToGrid w:val="0"/>
        <w:spacing w:before="0" w:beforeAutospacing="0" w:after="0" w:afterAutospacing="0" w:line="14" w:lineRule="auto"/>
        <w:ind w:firstLine="601"/>
        <w:jc w:val="center"/>
        <w:rPr>
          <w:rFonts w:ascii="Times New Roman" w:hAnsi="Times New Roman" w:eastAsia="黑体"/>
          <w:snapToGrid w:val="0"/>
          <w:color w:val="000000" w:themeColor="text1"/>
          <w:sz w:val="30"/>
          <w:szCs w:val="30"/>
          <w14:textFill>
            <w14:solidFill>
              <w14:schemeClr w14:val="tx1"/>
            </w14:solidFill>
          </w14:textFill>
        </w:rPr>
      </w:pPr>
    </w:p>
    <w:p w14:paraId="548410E3">
      <w:pPr>
        <w:pStyle w:val="15"/>
        <w:ind w:firstLine="60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20"/>
        <w:tblW w:w="95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815"/>
      </w:tblGrid>
      <w:tr w14:paraId="54843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99" w:type="dxa"/>
            <w:vAlign w:val="center"/>
          </w:tcPr>
          <w:p w14:paraId="6988C348">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区域环境质量现状</w:t>
            </w:r>
          </w:p>
        </w:tc>
        <w:tc>
          <w:tcPr>
            <w:tcW w:w="8815" w:type="dxa"/>
            <w:vAlign w:val="center"/>
          </w:tcPr>
          <w:p w14:paraId="3EB893CC">
            <w:pPr>
              <w:snapToGrid w:val="0"/>
              <w:spacing w:line="46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根据现有环境监测资料，建设项目所在地环境质量状况如下：</w:t>
            </w:r>
          </w:p>
          <w:p w14:paraId="4A0ACF80">
            <w:pPr>
              <w:adjustRightInd w:val="0"/>
              <w:snapToGrid w:val="0"/>
              <w:spacing w:line="460" w:lineRule="exact"/>
              <w:ind w:firstLine="482"/>
              <w:jc w:val="left"/>
              <w:rPr>
                <w:b/>
                <w:color w:val="000000" w:themeColor="text1"/>
                <w:sz w:val="24"/>
                <w:szCs w:val="20"/>
                <w14:textFill>
                  <w14:solidFill>
                    <w14:schemeClr w14:val="tx1"/>
                  </w14:solidFill>
                </w14:textFill>
              </w:rPr>
            </w:pPr>
            <w:r>
              <w:rPr>
                <w:b/>
                <w:color w:val="000000" w:themeColor="text1"/>
                <w:sz w:val="24"/>
                <w:szCs w:val="20"/>
                <w14:textFill>
                  <w14:solidFill>
                    <w14:schemeClr w14:val="tx1"/>
                  </w14:solidFill>
                </w14:textFill>
              </w:rPr>
              <w:t>1、环境空气质量现状</w:t>
            </w:r>
          </w:p>
          <w:p w14:paraId="1BC74BE7">
            <w:pPr>
              <w:snapToGrid w:val="0"/>
              <w:spacing w:line="46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（1）基本污染物</w:t>
            </w:r>
          </w:p>
          <w:p w14:paraId="47B78DB2">
            <w:pPr>
              <w:pStyle w:val="28"/>
              <w:ind w:firstLine="480"/>
              <w:rPr>
                <w:sz w:val="21"/>
                <w:szCs w:val="21"/>
              </w:rPr>
            </w:pPr>
            <w:r>
              <w:rPr>
                <w:rFonts w:hint="eastAsia"/>
              </w:rPr>
              <w:t>根据大气功能区划分原则，建设项目所在地为二类功能区，环境空气质量应执行《环境空气质量标准》（GB3095-2012）二级标准。根据《2023年新乡市环境质量公报》，区域空气质量现状数据如下表所示</w:t>
            </w:r>
            <w:r>
              <w:t>。</w:t>
            </w:r>
          </w:p>
          <w:p w14:paraId="67C3C904">
            <w:pPr>
              <w:pStyle w:val="67"/>
              <w:ind w:firstLine="480"/>
            </w:pPr>
            <w:r>
              <w:t xml:space="preserve">              区域空气质量现状评价表</w:t>
            </w:r>
          </w:p>
          <w:tbl>
            <w:tblPr>
              <w:tblStyle w:val="20"/>
              <w:tblW w:w="481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928"/>
              <w:gridCol w:w="1944"/>
              <w:gridCol w:w="1126"/>
              <w:gridCol w:w="1134"/>
              <w:gridCol w:w="850"/>
              <w:gridCol w:w="1124"/>
              <w:gridCol w:w="1175"/>
            </w:tblGrid>
            <w:tr w14:paraId="294AE4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8" w:space="0"/>
                    <w:left w:val="nil"/>
                    <w:bottom w:val="single" w:color="auto" w:sz="4" w:space="0"/>
                    <w:right w:val="single" w:color="auto" w:sz="4" w:space="0"/>
                  </w:tcBorders>
                  <w:tcMar>
                    <w:top w:w="57" w:type="dxa"/>
                    <w:left w:w="85" w:type="dxa"/>
                    <w:bottom w:w="57" w:type="dxa"/>
                    <w:right w:w="85" w:type="dxa"/>
                  </w:tcMar>
                  <w:vAlign w:val="center"/>
                </w:tcPr>
                <w:p w14:paraId="5D03991C">
                  <w:pPr>
                    <w:pStyle w:val="86"/>
                    <w:rPr>
                      <w:b/>
                      <w:bCs w:val="0"/>
                    </w:rPr>
                  </w:pPr>
                  <w:r>
                    <w:rPr>
                      <w:b/>
                      <w:bCs w:val="0"/>
                    </w:rPr>
                    <w:t>污染物</w:t>
                  </w:r>
                </w:p>
              </w:tc>
              <w:tc>
                <w:tcPr>
                  <w:tcW w:w="1944"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E15AE45">
                  <w:pPr>
                    <w:pStyle w:val="86"/>
                    <w:rPr>
                      <w:b/>
                      <w:bCs w:val="0"/>
                    </w:rPr>
                  </w:pPr>
                  <w:r>
                    <w:rPr>
                      <w:b/>
                      <w:bCs w:val="0"/>
                    </w:rPr>
                    <w:t>年评价指标</w:t>
                  </w:r>
                </w:p>
              </w:tc>
              <w:tc>
                <w:tcPr>
                  <w:tcW w:w="1126"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0CB8ADF">
                  <w:pPr>
                    <w:pStyle w:val="86"/>
                    <w:rPr>
                      <w:b/>
                      <w:bCs w:val="0"/>
                    </w:rPr>
                  </w:pPr>
                  <w:r>
                    <w:rPr>
                      <w:b/>
                      <w:bCs w:val="0"/>
                    </w:rPr>
                    <w:t>现状浓度/（μg/m</w:t>
                  </w:r>
                  <w:r>
                    <w:rPr>
                      <w:b/>
                      <w:bCs w:val="0"/>
                      <w:vertAlign w:val="superscript"/>
                    </w:rPr>
                    <w:t>3</w:t>
                  </w:r>
                  <w:r>
                    <w:rPr>
                      <w:b/>
                      <w:bCs w:val="0"/>
                    </w:rPr>
                    <w:t>）</w:t>
                  </w:r>
                </w:p>
              </w:tc>
              <w:tc>
                <w:tcPr>
                  <w:tcW w:w="1134"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B9B65F4">
                  <w:pPr>
                    <w:pStyle w:val="86"/>
                    <w:rPr>
                      <w:b/>
                      <w:bCs w:val="0"/>
                    </w:rPr>
                  </w:pPr>
                  <w:r>
                    <w:rPr>
                      <w:b/>
                      <w:bCs w:val="0"/>
                    </w:rPr>
                    <w:t>标准值/（μg/m</w:t>
                  </w:r>
                  <w:r>
                    <w:rPr>
                      <w:b/>
                      <w:bCs w:val="0"/>
                      <w:vertAlign w:val="superscript"/>
                    </w:rPr>
                    <w:t>3</w:t>
                  </w:r>
                  <w:r>
                    <w:rPr>
                      <w:b/>
                      <w:bCs w:val="0"/>
                    </w:rPr>
                    <w:t>）</w:t>
                  </w:r>
                </w:p>
              </w:tc>
              <w:tc>
                <w:tcPr>
                  <w:tcW w:w="850"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3A30C6C">
                  <w:pPr>
                    <w:pStyle w:val="86"/>
                    <w:rPr>
                      <w:b/>
                      <w:bCs w:val="0"/>
                    </w:rPr>
                  </w:pPr>
                  <w:r>
                    <w:rPr>
                      <w:b/>
                      <w:bCs w:val="0"/>
                    </w:rPr>
                    <w:t>占标率/%</w:t>
                  </w:r>
                </w:p>
              </w:tc>
              <w:tc>
                <w:tcPr>
                  <w:tcW w:w="1124" w:type="dxa"/>
                  <w:tcBorders>
                    <w:top w:val="single" w:color="auto" w:sz="8" w:space="0"/>
                    <w:left w:val="single" w:color="auto" w:sz="4" w:space="0"/>
                    <w:bottom w:val="single" w:color="auto" w:sz="4" w:space="0"/>
                    <w:right w:val="single" w:color="auto" w:sz="4" w:space="0"/>
                  </w:tcBorders>
                  <w:vAlign w:val="center"/>
                </w:tcPr>
                <w:p w14:paraId="2120495A">
                  <w:pPr>
                    <w:pStyle w:val="86"/>
                    <w:rPr>
                      <w:b/>
                      <w:bCs w:val="0"/>
                    </w:rPr>
                  </w:pPr>
                  <w:r>
                    <w:rPr>
                      <w:b/>
                      <w:bCs w:val="0"/>
                    </w:rPr>
                    <w:t>超标倍数</w:t>
                  </w:r>
                </w:p>
              </w:tc>
              <w:tc>
                <w:tcPr>
                  <w:tcW w:w="1175" w:type="dxa"/>
                  <w:tcBorders>
                    <w:top w:val="single" w:color="auto" w:sz="8" w:space="0"/>
                    <w:left w:val="single" w:color="auto" w:sz="4" w:space="0"/>
                    <w:bottom w:val="single" w:color="auto" w:sz="4" w:space="0"/>
                    <w:right w:val="nil"/>
                  </w:tcBorders>
                  <w:tcMar>
                    <w:top w:w="57" w:type="dxa"/>
                    <w:left w:w="85" w:type="dxa"/>
                    <w:bottom w:w="57" w:type="dxa"/>
                    <w:right w:w="85" w:type="dxa"/>
                  </w:tcMar>
                  <w:vAlign w:val="center"/>
                </w:tcPr>
                <w:p w14:paraId="6EAACB6C">
                  <w:pPr>
                    <w:pStyle w:val="86"/>
                    <w:rPr>
                      <w:b/>
                      <w:bCs w:val="0"/>
                    </w:rPr>
                  </w:pPr>
                  <w:r>
                    <w:rPr>
                      <w:b/>
                      <w:bCs w:val="0"/>
                    </w:rPr>
                    <w:t>达标情况</w:t>
                  </w:r>
                </w:p>
              </w:tc>
            </w:tr>
            <w:tr w14:paraId="7026B8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3923220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PM</w:t>
                  </w:r>
                  <w:r>
                    <w:rPr>
                      <w:color w:val="000000" w:themeColor="text1"/>
                      <w:kern w:val="0"/>
                      <w:szCs w:val="21"/>
                      <w:vertAlign w:val="subscript"/>
                      <w14:textFill>
                        <w14:solidFill>
                          <w14:schemeClr w14:val="tx1"/>
                        </w14:solidFill>
                      </w14:textFill>
                    </w:rPr>
                    <w:t>10</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3DD118E">
                  <w:pPr>
                    <w:pStyle w:val="86"/>
                    <w:rPr>
                      <w:color w:val="000000" w:themeColor="text1"/>
                      <w14:textFill>
                        <w14:solidFill>
                          <w14:schemeClr w14:val="tx1"/>
                        </w14:solidFill>
                      </w14:textFill>
                    </w:rPr>
                  </w:pPr>
                  <w:r>
                    <w:rPr>
                      <w:rFonts w:hint="eastAsia"/>
                    </w:rPr>
                    <w:t>年平均质量浓度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2F7321B">
                  <w:pPr>
                    <w:pStyle w:val="86"/>
                    <w:rPr>
                      <w:color w:val="000000" w:themeColor="text1"/>
                      <w14:textFill>
                        <w14:solidFill>
                          <w14:schemeClr w14:val="tx1"/>
                        </w14:solidFill>
                      </w14:textFill>
                    </w:rPr>
                  </w:pPr>
                  <w:r>
                    <w:rPr>
                      <w:rFonts w:hint="eastAsia"/>
                    </w:rPr>
                    <w:t>80</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049EE29">
                  <w:pPr>
                    <w:pStyle w:val="86"/>
                    <w:rPr>
                      <w:color w:val="000000" w:themeColor="text1"/>
                      <w14:textFill>
                        <w14:solidFill>
                          <w14:schemeClr w14:val="tx1"/>
                        </w14:solidFill>
                      </w14:textFill>
                    </w:rPr>
                  </w:pPr>
                  <w:r>
                    <w:rPr>
                      <w:rFonts w:hint="eastAsia"/>
                    </w:rPr>
                    <w:t>70</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F423EC9">
                  <w:pPr>
                    <w:pStyle w:val="86"/>
                    <w:rPr>
                      <w:color w:val="000000" w:themeColor="text1"/>
                      <w14:textFill>
                        <w14:solidFill>
                          <w14:schemeClr w14:val="tx1"/>
                        </w14:solidFill>
                      </w14:textFill>
                    </w:rPr>
                  </w:pPr>
                  <w:r>
                    <w:t>1</w:t>
                  </w:r>
                  <w:r>
                    <w:rPr>
                      <w:rFonts w:hint="eastAsia"/>
                    </w:rPr>
                    <w:t>14.3</w:t>
                  </w:r>
                </w:p>
              </w:tc>
              <w:tc>
                <w:tcPr>
                  <w:tcW w:w="1124" w:type="dxa"/>
                  <w:tcBorders>
                    <w:top w:val="single" w:color="auto" w:sz="4" w:space="0"/>
                    <w:left w:val="single" w:color="auto" w:sz="4" w:space="0"/>
                    <w:bottom w:val="single" w:color="auto" w:sz="4" w:space="0"/>
                    <w:right w:val="single" w:color="auto" w:sz="4" w:space="0"/>
                  </w:tcBorders>
                  <w:vAlign w:val="center"/>
                </w:tcPr>
                <w:p w14:paraId="1B6F7F16">
                  <w:pPr>
                    <w:pStyle w:val="86"/>
                    <w:rPr>
                      <w:color w:val="000000" w:themeColor="text1"/>
                      <w14:textFill>
                        <w14:solidFill>
                          <w14:schemeClr w14:val="tx1"/>
                        </w14:solidFill>
                      </w14:textFill>
                    </w:rPr>
                  </w:pPr>
                  <w:r>
                    <w:t>0.</w:t>
                  </w:r>
                  <w:r>
                    <w:rPr>
                      <w:rFonts w:hint="eastAsia"/>
                    </w:rPr>
                    <w:t>143</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1F6B3D9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超标</w:t>
                  </w:r>
                </w:p>
              </w:tc>
            </w:tr>
            <w:tr w14:paraId="5EF14D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187EF184">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PM</w:t>
                  </w:r>
                  <w:r>
                    <w:rPr>
                      <w:color w:val="000000" w:themeColor="text1"/>
                      <w:kern w:val="0"/>
                      <w:szCs w:val="21"/>
                      <w:vertAlign w:val="subscript"/>
                      <w14:textFill>
                        <w14:solidFill>
                          <w14:schemeClr w14:val="tx1"/>
                        </w14:solidFill>
                      </w14:textFill>
                    </w:rPr>
                    <w:t>2.5</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904116B">
                  <w:pPr>
                    <w:pStyle w:val="86"/>
                    <w:rPr>
                      <w:color w:val="000000" w:themeColor="text1"/>
                      <w14:textFill>
                        <w14:solidFill>
                          <w14:schemeClr w14:val="tx1"/>
                        </w14:solidFill>
                      </w14:textFill>
                    </w:rPr>
                  </w:pPr>
                  <w:r>
                    <w:rPr>
                      <w:rFonts w:hint="eastAsia"/>
                    </w:rPr>
                    <w:t>年平均质量浓度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C1D261E">
                  <w:pPr>
                    <w:pStyle w:val="86"/>
                    <w:rPr>
                      <w:color w:val="000000" w:themeColor="text1"/>
                      <w14:textFill>
                        <w14:solidFill>
                          <w14:schemeClr w14:val="tx1"/>
                        </w14:solidFill>
                      </w14:textFill>
                    </w:rPr>
                  </w:pPr>
                  <w:r>
                    <w:rPr>
                      <w:rFonts w:hint="eastAsia"/>
                    </w:rPr>
                    <w:t>47</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54C041F">
                  <w:pPr>
                    <w:pStyle w:val="86"/>
                    <w:rPr>
                      <w:color w:val="000000" w:themeColor="text1"/>
                      <w14:textFill>
                        <w14:solidFill>
                          <w14:schemeClr w14:val="tx1"/>
                        </w14:solidFill>
                      </w14:textFill>
                    </w:rPr>
                  </w:pPr>
                  <w:r>
                    <w:rPr>
                      <w:rFonts w:hint="eastAsia"/>
                    </w:rPr>
                    <w:t>35</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046EE14">
                  <w:pPr>
                    <w:pStyle w:val="86"/>
                    <w:rPr>
                      <w:color w:val="000000" w:themeColor="text1"/>
                      <w14:textFill>
                        <w14:solidFill>
                          <w14:schemeClr w14:val="tx1"/>
                        </w14:solidFill>
                      </w14:textFill>
                    </w:rPr>
                  </w:pPr>
                  <w:r>
                    <w:t>1</w:t>
                  </w:r>
                  <w:r>
                    <w:rPr>
                      <w:rFonts w:hint="eastAsia"/>
                    </w:rPr>
                    <w:t>34.3</w:t>
                  </w:r>
                </w:p>
              </w:tc>
              <w:tc>
                <w:tcPr>
                  <w:tcW w:w="1124" w:type="dxa"/>
                  <w:tcBorders>
                    <w:top w:val="single" w:color="auto" w:sz="4" w:space="0"/>
                    <w:left w:val="single" w:color="auto" w:sz="4" w:space="0"/>
                    <w:bottom w:val="single" w:color="auto" w:sz="4" w:space="0"/>
                    <w:right w:val="single" w:color="auto" w:sz="4" w:space="0"/>
                  </w:tcBorders>
                  <w:vAlign w:val="center"/>
                </w:tcPr>
                <w:p w14:paraId="1C2866C9">
                  <w:pPr>
                    <w:pStyle w:val="86"/>
                    <w:rPr>
                      <w:color w:val="000000" w:themeColor="text1"/>
                      <w14:textFill>
                        <w14:solidFill>
                          <w14:schemeClr w14:val="tx1"/>
                        </w14:solidFill>
                      </w14:textFill>
                    </w:rPr>
                  </w:pPr>
                  <w:r>
                    <w:t>0.</w:t>
                  </w:r>
                  <w:r>
                    <w:rPr>
                      <w:rFonts w:hint="eastAsia"/>
                    </w:rPr>
                    <w:t>343</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54FBE79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超标</w:t>
                  </w:r>
                </w:p>
              </w:tc>
            </w:tr>
            <w:tr w14:paraId="61EDEA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6A37DF3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SO</w:t>
                  </w:r>
                  <w:r>
                    <w:rPr>
                      <w:color w:val="000000" w:themeColor="text1"/>
                      <w:kern w:val="0"/>
                      <w:szCs w:val="21"/>
                      <w:vertAlign w:val="subscript"/>
                      <w14:textFill>
                        <w14:solidFill>
                          <w14:schemeClr w14:val="tx1"/>
                        </w14:solidFill>
                      </w14:textFill>
                    </w:rPr>
                    <w:t>2</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C7A9957">
                  <w:pPr>
                    <w:pStyle w:val="86"/>
                    <w:rPr>
                      <w:color w:val="000000" w:themeColor="text1"/>
                      <w14:textFill>
                        <w14:solidFill>
                          <w14:schemeClr w14:val="tx1"/>
                        </w14:solidFill>
                      </w14:textFill>
                    </w:rPr>
                  </w:pPr>
                  <w:r>
                    <w:rPr>
                      <w:rFonts w:hint="eastAsia"/>
                    </w:rPr>
                    <w:t>年平均质量浓度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6599B71">
                  <w:pPr>
                    <w:pStyle w:val="86"/>
                    <w:rPr>
                      <w:color w:val="000000" w:themeColor="text1"/>
                      <w14:textFill>
                        <w14:solidFill>
                          <w14:schemeClr w14:val="tx1"/>
                        </w14:solidFill>
                      </w14:textFill>
                    </w:rPr>
                  </w:pPr>
                  <w:r>
                    <w:rPr>
                      <w:rFonts w:hint="eastAsia"/>
                    </w:rPr>
                    <w:t>9</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6ACE2D7">
                  <w:pPr>
                    <w:pStyle w:val="86"/>
                    <w:rPr>
                      <w:color w:val="000000" w:themeColor="text1"/>
                      <w14:textFill>
                        <w14:solidFill>
                          <w14:schemeClr w14:val="tx1"/>
                        </w14:solidFill>
                      </w14:textFill>
                    </w:rPr>
                  </w:pPr>
                  <w:r>
                    <w:rPr>
                      <w:rFonts w:hint="eastAsia"/>
                    </w:rPr>
                    <w:t>60</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1873311">
                  <w:pPr>
                    <w:pStyle w:val="86"/>
                    <w:rPr>
                      <w:color w:val="000000" w:themeColor="text1"/>
                      <w14:textFill>
                        <w14:solidFill>
                          <w14:schemeClr w14:val="tx1"/>
                        </w14:solidFill>
                      </w14:textFill>
                    </w:rPr>
                  </w:pPr>
                  <w:r>
                    <w:rPr>
                      <w:rFonts w:hint="eastAsia"/>
                    </w:rPr>
                    <w:t>15.0</w:t>
                  </w:r>
                </w:p>
              </w:tc>
              <w:tc>
                <w:tcPr>
                  <w:tcW w:w="1124" w:type="dxa"/>
                  <w:tcBorders>
                    <w:top w:val="single" w:color="auto" w:sz="4" w:space="0"/>
                    <w:left w:val="single" w:color="auto" w:sz="4" w:space="0"/>
                    <w:bottom w:val="single" w:color="auto" w:sz="4" w:space="0"/>
                    <w:right w:val="single" w:color="auto" w:sz="4" w:space="0"/>
                  </w:tcBorders>
                  <w:vAlign w:val="center"/>
                </w:tcPr>
                <w:p w14:paraId="5ABEC84C">
                  <w:pPr>
                    <w:pStyle w:val="86"/>
                    <w:rPr>
                      <w:color w:val="000000" w:themeColor="text1"/>
                      <w14:textFill>
                        <w14:solidFill>
                          <w14:schemeClr w14:val="tx1"/>
                        </w14:solidFill>
                      </w14:textFill>
                    </w:rPr>
                  </w:pPr>
                  <w:r>
                    <w:t>/</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6417037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达标</w:t>
                  </w:r>
                </w:p>
              </w:tc>
            </w:tr>
            <w:tr w14:paraId="266B33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7F4D795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NO</w:t>
                  </w:r>
                  <w:r>
                    <w:rPr>
                      <w:color w:val="000000" w:themeColor="text1"/>
                      <w:kern w:val="0"/>
                      <w:szCs w:val="21"/>
                      <w:vertAlign w:val="subscript"/>
                      <w14:textFill>
                        <w14:solidFill>
                          <w14:schemeClr w14:val="tx1"/>
                        </w14:solidFill>
                      </w14:textFill>
                    </w:rPr>
                    <w:t>2</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A343028">
                  <w:pPr>
                    <w:pStyle w:val="86"/>
                    <w:rPr>
                      <w:color w:val="000000" w:themeColor="text1"/>
                      <w14:textFill>
                        <w14:solidFill>
                          <w14:schemeClr w14:val="tx1"/>
                        </w14:solidFill>
                      </w14:textFill>
                    </w:rPr>
                  </w:pPr>
                  <w:r>
                    <w:rPr>
                      <w:rFonts w:hint="eastAsia"/>
                    </w:rPr>
                    <w:t>年平均质量浓度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F2841A1">
                  <w:pPr>
                    <w:pStyle w:val="86"/>
                    <w:rPr>
                      <w:color w:val="000000" w:themeColor="text1"/>
                      <w14:textFill>
                        <w14:solidFill>
                          <w14:schemeClr w14:val="tx1"/>
                        </w14:solidFill>
                      </w14:textFill>
                    </w:rPr>
                  </w:pPr>
                  <w:r>
                    <w:t>30</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66A81D2">
                  <w:pPr>
                    <w:pStyle w:val="86"/>
                    <w:rPr>
                      <w:color w:val="000000" w:themeColor="text1"/>
                      <w14:textFill>
                        <w14:solidFill>
                          <w14:schemeClr w14:val="tx1"/>
                        </w14:solidFill>
                      </w14:textFill>
                    </w:rPr>
                  </w:pPr>
                  <w:r>
                    <w:rPr>
                      <w:rFonts w:hint="eastAsia"/>
                    </w:rPr>
                    <w:t>40</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F03484E">
                  <w:pPr>
                    <w:pStyle w:val="86"/>
                    <w:rPr>
                      <w:color w:val="000000" w:themeColor="text1"/>
                      <w14:textFill>
                        <w14:solidFill>
                          <w14:schemeClr w14:val="tx1"/>
                        </w14:solidFill>
                      </w14:textFill>
                    </w:rPr>
                  </w:pPr>
                  <w:r>
                    <w:t>75</w:t>
                  </w:r>
                </w:p>
              </w:tc>
              <w:tc>
                <w:tcPr>
                  <w:tcW w:w="1124" w:type="dxa"/>
                  <w:tcBorders>
                    <w:top w:val="single" w:color="auto" w:sz="4" w:space="0"/>
                    <w:left w:val="single" w:color="auto" w:sz="4" w:space="0"/>
                    <w:bottom w:val="single" w:color="auto" w:sz="4" w:space="0"/>
                    <w:right w:val="single" w:color="auto" w:sz="4" w:space="0"/>
                  </w:tcBorders>
                  <w:vAlign w:val="center"/>
                </w:tcPr>
                <w:p w14:paraId="5BF9AB35">
                  <w:pPr>
                    <w:pStyle w:val="86"/>
                    <w:rPr>
                      <w:color w:val="000000" w:themeColor="text1"/>
                      <w14:textFill>
                        <w14:solidFill>
                          <w14:schemeClr w14:val="tx1"/>
                        </w14:solidFill>
                      </w14:textFill>
                    </w:rPr>
                  </w:pPr>
                  <w:r>
                    <w:t>/</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1429E60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达标</w:t>
                  </w:r>
                </w:p>
              </w:tc>
            </w:tr>
            <w:tr w14:paraId="630B46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14:paraId="799EBB9E">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94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990A31E">
                  <w:pPr>
                    <w:pStyle w:val="86"/>
                    <w:rPr>
                      <w:color w:val="000000" w:themeColor="text1"/>
                      <w14:textFill>
                        <w14:solidFill>
                          <w14:schemeClr w14:val="tx1"/>
                        </w14:solidFill>
                      </w14:textFill>
                    </w:rPr>
                  </w:pPr>
                  <w:r>
                    <w:rPr>
                      <w:rFonts w:hint="eastAsia"/>
                    </w:rPr>
                    <w:t>24小时平均第95百分位浓度</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CCEA685">
                  <w:pPr>
                    <w:pStyle w:val="86"/>
                    <w:rPr>
                      <w:color w:val="000000" w:themeColor="text1"/>
                      <w14:textFill>
                        <w14:solidFill>
                          <w14:schemeClr w14:val="tx1"/>
                        </w14:solidFill>
                      </w14:textFill>
                    </w:rPr>
                  </w:pPr>
                  <w:r>
                    <w:t>1.4mg/m</w:t>
                  </w:r>
                  <w:r>
                    <w:rPr>
                      <w:vertAlign w:val="superscript"/>
                    </w:rPr>
                    <w:t>3</w:t>
                  </w:r>
                </w:p>
              </w:tc>
              <w:tc>
                <w:tcPr>
                  <w:tcW w:w="1134"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ED6F004">
                  <w:pPr>
                    <w:pStyle w:val="86"/>
                    <w:rPr>
                      <w:color w:val="000000" w:themeColor="text1"/>
                      <w14:textFill>
                        <w14:solidFill>
                          <w14:schemeClr w14:val="tx1"/>
                        </w14:solidFill>
                      </w14:textFill>
                    </w:rPr>
                  </w:pPr>
                  <w:r>
                    <w:t>4mg/m</w:t>
                  </w:r>
                  <w:r>
                    <w:rPr>
                      <w:vertAlign w:val="superscript"/>
                    </w:rPr>
                    <w:t>3</w:t>
                  </w:r>
                </w:p>
              </w:tc>
              <w:tc>
                <w:tcPr>
                  <w:tcW w:w="85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6C2B007">
                  <w:pPr>
                    <w:pStyle w:val="86"/>
                    <w:rPr>
                      <w:color w:val="000000" w:themeColor="text1"/>
                      <w14:textFill>
                        <w14:solidFill>
                          <w14:schemeClr w14:val="tx1"/>
                        </w14:solidFill>
                      </w14:textFill>
                    </w:rPr>
                  </w:pPr>
                  <w:r>
                    <w:t>35</w:t>
                  </w:r>
                </w:p>
              </w:tc>
              <w:tc>
                <w:tcPr>
                  <w:tcW w:w="1124" w:type="dxa"/>
                  <w:tcBorders>
                    <w:top w:val="single" w:color="auto" w:sz="4" w:space="0"/>
                    <w:left w:val="single" w:color="auto" w:sz="4" w:space="0"/>
                    <w:bottom w:val="single" w:color="auto" w:sz="4" w:space="0"/>
                    <w:right w:val="single" w:color="auto" w:sz="4" w:space="0"/>
                  </w:tcBorders>
                  <w:vAlign w:val="center"/>
                </w:tcPr>
                <w:p w14:paraId="05E7EFF0">
                  <w:pPr>
                    <w:pStyle w:val="86"/>
                    <w:rPr>
                      <w:color w:val="000000" w:themeColor="text1"/>
                      <w14:textFill>
                        <w14:solidFill>
                          <w14:schemeClr w14:val="tx1"/>
                        </w14:solidFill>
                      </w14:textFill>
                    </w:rPr>
                  </w:pPr>
                  <w:r>
                    <w:t>/</w:t>
                  </w:r>
                </w:p>
              </w:tc>
              <w:tc>
                <w:tcPr>
                  <w:tcW w:w="1175"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14:paraId="2DEC732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达标</w:t>
                  </w:r>
                </w:p>
              </w:tc>
            </w:tr>
            <w:tr w14:paraId="68CECE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928" w:type="dxa"/>
                  <w:tcBorders>
                    <w:top w:val="single" w:color="auto" w:sz="4" w:space="0"/>
                    <w:left w:val="nil"/>
                    <w:bottom w:val="single" w:color="auto" w:sz="8" w:space="0"/>
                    <w:right w:val="single" w:color="auto" w:sz="4" w:space="0"/>
                  </w:tcBorders>
                  <w:tcMar>
                    <w:top w:w="57" w:type="dxa"/>
                    <w:left w:w="85" w:type="dxa"/>
                    <w:bottom w:w="57" w:type="dxa"/>
                    <w:right w:w="85" w:type="dxa"/>
                  </w:tcMar>
                  <w:vAlign w:val="center"/>
                </w:tcPr>
                <w:p w14:paraId="429DD0A8">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1944"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14:paraId="3B5AA389">
                  <w:pPr>
                    <w:pStyle w:val="86"/>
                    <w:rPr>
                      <w:color w:val="000000" w:themeColor="text1"/>
                      <w14:textFill>
                        <w14:solidFill>
                          <w14:schemeClr w14:val="tx1"/>
                        </w14:solidFill>
                      </w14:textFill>
                    </w:rPr>
                  </w:pPr>
                  <w:r>
                    <w:rPr>
                      <w:rFonts w:hint="eastAsia"/>
                    </w:rPr>
                    <w:t>日最大8小时滑动平均值的第90百分位浓度</w:t>
                  </w:r>
                </w:p>
              </w:tc>
              <w:tc>
                <w:tcPr>
                  <w:tcW w:w="1126"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14:paraId="1F4084D4">
                  <w:pPr>
                    <w:pStyle w:val="86"/>
                    <w:rPr>
                      <w:color w:val="000000" w:themeColor="text1"/>
                      <w14:textFill>
                        <w14:solidFill>
                          <w14:schemeClr w14:val="tx1"/>
                        </w14:solidFill>
                      </w14:textFill>
                    </w:rPr>
                  </w:pPr>
                  <w:r>
                    <w:t>18</w:t>
                  </w:r>
                  <w:r>
                    <w:rPr>
                      <w:rFonts w:hint="eastAsia"/>
                    </w:rPr>
                    <w:t>3</w:t>
                  </w:r>
                </w:p>
              </w:tc>
              <w:tc>
                <w:tcPr>
                  <w:tcW w:w="1134"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14:paraId="09348C7D">
                  <w:pPr>
                    <w:pStyle w:val="86"/>
                    <w:rPr>
                      <w:color w:val="000000" w:themeColor="text1"/>
                      <w14:textFill>
                        <w14:solidFill>
                          <w14:schemeClr w14:val="tx1"/>
                        </w14:solidFill>
                      </w14:textFill>
                    </w:rPr>
                  </w:pPr>
                  <w:r>
                    <w:rPr>
                      <w:rFonts w:hint="eastAsia"/>
                    </w:rPr>
                    <w:t>160</w:t>
                  </w:r>
                </w:p>
              </w:tc>
              <w:tc>
                <w:tcPr>
                  <w:tcW w:w="850"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14:paraId="3FFE5839">
                  <w:pPr>
                    <w:pStyle w:val="86"/>
                    <w:rPr>
                      <w:color w:val="000000" w:themeColor="text1"/>
                      <w14:textFill>
                        <w14:solidFill>
                          <w14:schemeClr w14:val="tx1"/>
                        </w14:solidFill>
                      </w14:textFill>
                    </w:rPr>
                  </w:pPr>
                  <w:r>
                    <w:t>11</w:t>
                  </w:r>
                  <w:r>
                    <w:rPr>
                      <w:rFonts w:hint="eastAsia"/>
                    </w:rPr>
                    <w:t>4.4</w:t>
                  </w:r>
                </w:p>
              </w:tc>
              <w:tc>
                <w:tcPr>
                  <w:tcW w:w="1124" w:type="dxa"/>
                  <w:tcBorders>
                    <w:top w:val="single" w:color="auto" w:sz="4" w:space="0"/>
                    <w:left w:val="single" w:color="auto" w:sz="4" w:space="0"/>
                    <w:bottom w:val="single" w:color="auto" w:sz="8" w:space="0"/>
                    <w:right w:val="single" w:color="auto" w:sz="4" w:space="0"/>
                  </w:tcBorders>
                  <w:vAlign w:val="center"/>
                </w:tcPr>
                <w:p w14:paraId="1B8B611F">
                  <w:pPr>
                    <w:pStyle w:val="86"/>
                    <w:rPr>
                      <w:color w:val="000000" w:themeColor="text1"/>
                      <w14:textFill>
                        <w14:solidFill>
                          <w14:schemeClr w14:val="tx1"/>
                        </w14:solidFill>
                      </w14:textFill>
                    </w:rPr>
                  </w:pPr>
                  <w:r>
                    <w:rPr>
                      <w:rFonts w:hint="eastAsia"/>
                    </w:rPr>
                    <w:t>0.</w:t>
                  </w:r>
                  <w:r>
                    <w:t>1</w:t>
                  </w:r>
                  <w:r>
                    <w:rPr>
                      <w:rFonts w:hint="eastAsia"/>
                    </w:rPr>
                    <w:t>44</w:t>
                  </w:r>
                </w:p>
              </w:tc>
              <w:tc>
                <w:tcPr>
                  <w:tcW w:w="1175" w:type="dxa"/>
                  <w:tcBorders>
                    <w:top w:val="single" w:color="auto" w:sz="4" w:space="0"/>
                    <w:left w:val="single" w:color="auto" w:sz="4" w:space="0"/>
                    <w:bottom w:val="single" w:color="auto" w:sz="8" w:space="0"/>
                    <w:right w:val="nil"/>
                  </w:tcBorders>
                  <w:tcMar>
                    <w:top w:w="57" w:type="dxa"/>
                    <w:left w:w="85" w:type="dxa"/>
                    <w:bottom w:w="57" w:type="dxa"/>
                    <w:right w:w="85" w:type="dxa"/>
                  </w:tcMar>
                  <w:vAlign w:val="center"/>
                </w:tcPr>
                <w:p w14:paraId="4D1990A4">
                  <w:pPr>
                    <w:autoSpaceDE w:val="0"/>
                    <w:autoSpaceDN w:val="0"/>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超标</w:t>
                  </w:r>
                </w:p>
              </w:tc>
            </w:tr>
          </w:tbl>
          <w:p w14:paraId="60C686B4">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由上表可知，其中PM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和O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均不能够满足《环境空气质量标准》（GB3095-2012）二级标准要求。根据《环境影响评价技术导则 大气环境》(HJ2.2-2018)，本项目所在区域属于未达标区。</w:t>
            </w:r>
          </w:p>
          <w:p w14:paraId="3B2A8281">
            <w:pPr>
              <w:pStyle w:val="28"/>
              <w:ind w:firstLine="480"/>
            </w:pPr>
            <w:r>
              <w:rPr>
                <w:rFonts w:hint="eastAsia"/>
              </w:rPr>
              <w:t>目前，新乡市正在实施《新乡市环境污染防治攻坚指挥部办公室关于印发新乡市深入打好秋冬季重污染天气消除、夏季臭氧污染防治和柴油货车污染治理攻坚战实施方案的通知》（新环攻坚办〔2023〕73号）、新乡市生态环境保护委员会办公室关于印发《新乡市2024年蓝天保卫战实施方案》《新乡市2024年碧水保卫战实施方案》《新乡市2024年净土保卫战实施方案》《新乡市2024年柴油货车污染治理攻坚战实施方案》的通知（新环委办〔2024〕49号）等一系列措施，将不断改善区域大气环境质量</w:t>
            </w:r>
            <w:r>
              <w:t>。</w:t>
            </w:r>
          </w:p>
          <w:p w14:paraId="211DD8DE">
            <w:pPr>
              <w:snapToGrid w:val="0"/>
              <w:spacing w:line="460" w:lineRule="exact"/>
              <w:ind w:firstLine="482" w:firstLineChars="200"/>
              <w:textAlignment w:val="baseline"/>
              <w:rPr>
                <w:b/>
                <w:color w:val="000000" w:themeColor="text1"/>
                <w:sz w:val="24"/>
                <w14:textFill>
                  <w14:solidFill>
                    <w14:schemeClr w14:val="tx1"/>
                  </w14:solidFill>
                </w14:textFill>
              </w:rPr>
            </w:pPr>
            <w:r>
              <w:rPr>
                <w:b/>
                <w:color w:val="000000" w:themeColor="text1"/>
                <w:sz w:val="24"/>
                <w14:textFill>
                  <w14:solidFill>
                    <w14:schemeClr w14:val="tx1"/>
                  </w14:solidFill>
                </w14:textFill>
              </w:rPr>
              <w:t>2、地表水环境质量现状</w:t>
            </w:r>
          </w:p>
          <w:p w14:paraId="11157586">
            <w:pPr>
              <w:pStyle w:val="28"/>
              <w:ind w:firstLine="480"/>
            </w:pPr>
            <w:r>
              <w:rPr>
                <w:rFonts w:hint="eastAsia"/>
              </w:rPr>
              <w:t>本项目生产废水经厂内污水处理站处理后部分回用于清洗工序，其余部分和经化粪池处理后的生活污水共同经管网排入获嘉县香山家园污水处理厂进一步处理，处理后排入共产主义渠。根据《新乡市生态环境局关于印发2024年地表水环境质量目标的函》</w:t>
            </w:r>
            <w:r>
              <w:t>，</w:t>
            </w:r>
            <w:r>
              <w:rPr>
                <w:rFonts w:hint="eastAsia"/>
              </w:rPr>
              <w:t>共产主义渠西永康断面</w:t>
            </w:r>
            <w:r>
              <w:t>水环境质量应执行《地表水环境质量标准》（GB3838-20</w:t>
            </w:r>
            <w:r>
              <w:rPr>
                <w:rFonts w:hint="eastAsia"/>
              </w:rPr>
              <w:t>02</w:t>
            </w:r>
            <w:r>
              <w:t>）</w:t>
            </w:r>
            <w:r>
              <w:rPr>
                <w:rFonts w:hint="eastAsia"/>
              </w:rPr>
              <w:t>IV</w:t>
            </w:r>
            <w:r>
              <w:t>类水域的水质标准。</w:t>
            </w:r>
            <w:r>
              <w:rPr>
                <w:rFonts w:hint="eastAsia"/>
              </w:rPr>
              <w:t>西永康</w:t>
            </w:r>
            <w:r>
              <w:t>断面的</w:t>
            </w:r>
            <w:r>
              <w:rPr>
                <w:rFonts w:hint="eastAsia"/>
              </w:rPr>
              <w:t>常规</w:t>
            </w:r>
            <w:r>
              <w:t>监测数据</w:t>
            </w:r>
            <w:r>
              <w:rPr>
                <w:rFonts w:hint="eastAsia"/>
              </w:rPr>
              <w:t>（</w:t>
            </w:r>
            <w:r>
              <w:t>2023年</w:t>
            </w:r>
            <w:r>
              <w:rPr>
                <w:rFonts w:hint="eastAsia"/>
              </w:rPr>
              <w:t>年均值）</w:t>
            </w:r>
            <w:r>
              <w:t>见下表。</w:t>
            </w:r>
          </w:p>
          <w:p w14:paraId="7F4A43FB">
            <w:pPr>
              <w:pStyle w:val="67"/>
              <w:ind w:firstLine="480"/>
            </w:pPr>
            <w:r>
              <w:t xml:space="preserve">             </w:t>
            </w:r>
            <w:r>
              <w:rPr>
                <w:rFonts w:hint="eastAsia"/>
              </w:rPr>
              <w:t>西永康</w:t>
            </w:r>
            <w:r>
              <w:t>断面监测数据            单位：mg/L</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539"/>
              <w:gridCol w:w="1951"/>
              <w:gridCol w:w="2300"/>
              <w:gridCol w:w="1809"/>
            </w:tblGrid>
            <w:tr w14:paraId="23C756B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39" w:type="dxa"/>
                  <w:vAlign w:val="center"/>
                </w:tcPr>
                <w:p w14:paraId="5F1EFE20">
                  <w:pPr>
                    <w:pStyle w:val="86"/>
                    <w:rPr>
                      <w:b/>
                      <w:bCs w:val="0"/>
                    </w:rPr>
                  </w:pPr>
                  <w:r>
                    <w:rPr>
                      <w:b/>
                      <w:bCs w:val="0"/>
                    </w:rPr>
                    <w:t>监测因子</w:t>
                  </w:r>
                </w:p>
              </w:tc>
              <w:tc>
                <w:tcPr>
                  <w:tcW w:w="1951" w:type="dxa"/>
                  <w:vAlign w:val="center"/>
                </w:tcPr>
                <w:p w14:paraId="4307FAE6">
                  <w:pPr>
                    <w:pStyle w:val="86"/>
                    <w:rPr>
                      <w:b/>
                      <w:bCs w:val="0"/>
                    </w:rPr>
                  </w:pPr>
                  <w:r>
                    <w:rPr>
                      <w:b/>
                      <w:bCs w:val="0"/>
                    </w:rPr>
                    <w:t>COD</w:t>
                  </w:r>
                </w:p>
              </w:tc>
              <w:tc>
                <w:tcPr>
                  <w:tcW w:w="2300" w:type="dxa"/>
                  <w:vAlign w:val="center"/>
                </w:tcPr>
                <w:p w14:paraId="24312B43">
                  <w:pPr>
                    <w:pStyle w:val="86"/>
                    <w:rPr>
                      <w:b/>
                      <w:bCs w:val="0"/>
                    </w:rPr>
                  </w:pPr>
                  <w:r>
                    <w:rPr>
                      <w:b/>
                      <w:bCs w:val="0"/>
                    </w:rPr>
                    <w:t>NH</w:t>
                  </w:r>
                  <w:r>
                    <w:rPr>
                      <w:b/>
                      <w:bCs w:val="0"/>
                      <w:vertAlign w:val="subscript"/>
                    </w:rPr>
                    <w:t>3</w:t>
                  </w:r>
                  <w:r>
                    <w:rPr>
                      <w:b/>
                      <w:bCs w:val="0"/>
                    </w:rPr>
                    <w:t>-N</w:t>
                  </w:r>
                </w:p>
              </w:tc>
              <w:tc>
                <w:tcPr>
                  <w:tcW w:w="1809" w:type="dxa"/>
                  <w:vAlign w:val="center"/>
                </w:tcPr>
                <w:p w14:paraId="0D557DCA">
                  <w:pPr>
                    <w:pStyle w:val="86"/>
                    <w:rPr>
                      <w:b/>
                      <w:bCs w:val="0"/>
                    </w:rPr>
                  </w:pPr>
                  <w:r>
                    <w:rPr>
                      <w:b/>
                      <w:bCs w:val="0"/>
                    </w:rPr>
                    <w:t>TP</w:t>
                  </w:r>
                </w:p>
              </w:tc>
            </w:tr>
            <w:tr w14:paraId="24D22C9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39" w:type="dxa"/>
                  <w:vAlign w:val="center"/>
                </w:tcPr>
                <w:p w14:paraId="3155B9DD">
                  <w:pPr>
                    <w:pStyle w:val="86"/>
                  </w:pPr>
                  <w:r>
                    <w:t>监测数据</w:t>
                  </w:r>
                </w:p>
              </w:tc>
              <w:tc>
                <w:tcPr>
                  <w:tcW w:w="1951" w:type="dxa"/>
                  <w:vAlign w:val="center"/>
                </w:tcPr>
                <w:p w14:paraId="40C82CE6">
                  <w:pPr>
                    <w:pStyle w:val="86"/>
                    <w:rPr>
                      <w:kern w:val="2"/>
                    </w:rPr>
                  </w:pPr>
                  <w:r>
                    <w:rPr>
                      <w:rFonts w:hint="eastAsia"/>
                    </w:rPr>
                    <w:t>22.4</w:t>
                  </w:r>
                </w:p>
              </w:tc>
              <w:tc>
                <w:tcPr>
                  <w:tcW w:w="2300" w:type="dxa"/>
                  <w:vAlign w:val="center"/>
                </w:tcPr>
                <w:p w14:paraId="5A6F56AF">
                  <w:pPr>
                    <w:pStyle w:val="86"/>
                    <w:rPr>
                      <w:kern w:val="2"/>
                    </w:rPr>
                  </w:pPr>
                  <w:r>
                    <w:rPr>
                      <w:rFonts w:hint="eastAsia"/>
                    </w:rPr>
                    <w:t>0.9</w:t>
                  </w:r>
                </w:p>
              </w:tc>
              <w:tc>
                <w:tcPr>
                  <w:tcW w:w="1809" w:type="dxa"/>
                  <w:vAlign w:val="center"/>
                </w:tcPr>
                <w:p w14:paraId="7C5D5D53">
                  <w:pPr>
                    <w:pStyle w:val="86"/>
                    <w:rPr>
                      <w:kern w:val="2"/>
                    </w:rPr>
                  </w:pPr>
                  <w:r>
                    <w:rPr>
                      <w:rFonts w:hint="eastAsia"/>
                    </w:rPr>
                    <w:t>0.21</w:t>
                  </w:r>
                </w:p>
              </w:tc>
            </w:tr>
            <w:tr w14:paraId="5FAC4B8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39" w:type="dxa"/>
                  <w:vAlign w:val="center"/>
                </w:tcPr>
                <w:p w14:paraId="2E067FCB">
                  <w:pPr>
                    <w:pStyle w:val="86"/>
                  </w:pPr>
                  <w:r>
                    <w:t>断面标准</w:t>
                  </w:r>
                </w:p>
              </w:tc>
              <w:tc>
                <w:tcPr>
                  <w:tcW w:w="1951" w:type="dxa"/>
                  <w:vAlign w:val="center"/>
                </w:tcPr>
                <w:p w14:paraId="4A6152C8">
                  <w:pPr>
                    <w:pStyle w:val="86"/>
                  </w:pPr>
                  <w:r>
                    <w:t>30</w:t>
                  </w:r>
                </w:p>
              </w:tc>
              <w:tc>
                <w:tcPr>
                  <w:tcW w:w="2300" w:type="dxa"/>
                  <w:vAlign w:val="center"/>
                </w:tcPr>
                <w:p w14:paraId="12B199CD">
                  <w:pPr>
                    <w:pStyle w:val="86"/>
                  </w:pPr>
                  <w:r>
                    <w:t>1.5</w:t>
                  </w:r>
                </w:p>
              </w:tc>
              <w:tc>
                <w:tcPr>
                  <w:tcW w:w="1809" w:type="dxa"/>
                  <w:vAlign w:val="center"/>
                </w:tcPr>
                <w:p w14:paraId="42660A77">
                  <w:pPr>
                    <w:pStyle w:val="86"/>
                  </w:pPr>
                  <w:r>
                    <w:t>0.3</w:t>
                  </w:r>
                </w:p>
              </w:tc>
            </w:tr>
            <w:tr w14:paraId="285F4D7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39" w:type="dxa"/>
                  <w:vAlign w:val="center"/>
                </w:tcPr>
                <w:p w14:paraId="6FDA3AC7">
                  <w:pPr>
                    <w:pStyle w:val="86"/>
                  </w:pPr>
                  <w:r>
                    <w:t>达标情况</w:t>
                  </w:r>
                </w:p>
              </w:tc>
              <w:tc>
                <w:tcPr>
                  <w:tcW w:w="1951" w:type="dxa"/>
                  <w:vAlign w:val="center"/>
                </w:tcPr>
                <w:p w14:paraId="220DE21A">
                  <w:pPr>
                    <w:pStyle w:val="86"/>
                  </w:pPr>
                  <w:r>
                    <w:rPr>
                      <w:rFonts w:hint="eastAsia"/>
                    </w:rPr>
                    <w:t>达标</w:t>
                  </w:r>
                </w:p>
              </w:tc>
              <w:tc>
                <w:tcPr>
                  <w:tcW w:w="2300" w:type="dxa"/>
                  <w:vAlign w:val="center"/>
                </w:tcPr>
                <w:p w14:paraId="09A7B207">
                  <w:pPr>
                    <w:pStyle w:val="86"/>
                  </w:pPr>
                  <w:r>
                    <w:rPr>
                      <w:rFonts w:hint="eastAsia"/>
                    </w:rPr>
                    <w:t>达标</w:t>
                  </w:r>
                </w:p>
              </w:tc>
              <w:tc>
                <w:tcPr>
                  <w:tcW w:w="1809" w:type="dxa"/>
                  <w:vAlign w:val="center"/>
                </w:tcPr>
                <w:p w14:paraId="01655AF6">
                  <w:pPr>
                    <w:pStyle w:val="86"/>
                  </w:pPr>
                  <w:r>
                    <w:rPr>
                      <w:rFonts w:hint="eastAsia"/>
                    </w:rPr>
                    <w:t>达标</w:t>
                  </w:r>
                </w:p>
              </w:tc>
            </w:tr>
          </w:tbl>
          <w:p w14:paraId="6B2C57C6">
            <w:pPr>
              <w:pStyle w:val="28"/>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由上表可知，</w:t>
            </w:r>
            <w:r>
              <w:rPr>
                <w:rFonts w:hint="eastAsia"/>
                <w:color w:val="000000" w:themeColor="text1"/>
                <w:kern w:val="0"/>
                <w14:textFill>
                  <w14:solidFill>
                    <w14:schemeClr w14:val="tx1"/>
                  </w14:solidFill>
                </w14:textFill>
              </w:rPr>
              <w:t>西永康断面</w:t>
            </w:r>
            <w:r>
              <w:rPr>
                <w:color w:val="000000" w:themeColor="text1"/>
                <w14:textFill>
                  <w14:solidFill>
                    <w14:schemeClr w14:val="tx1"/>
                  </w14:solidFill>
                </w14:textFill>
              </w:rPr>
              <w:t>COD</w:t>
            </w:r>
            <w:r>
              <w:rPr>
                <w:color w:val="000000" w:themeColor="text1"/>
                <w:kern w:val="0"/>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kern w:val="0"/>
                <w14:textFill>
                  <w14:solidFill>
                    <w14:schemeClr w14:val="tx1"/>
                  </w14:solidFill>
                </w14:textFill>
              </w:rPr>
              <w:t>、TP</w:t>
            </w:r>
            <w:r>
              <w:rPr>
                <w:rFonts w:hint="eastAsia"/>
                <w:color w:val="000000" w:themeColor="text1"/>
                <w:kern w:val="0"/>
                <w14:textFill>
                  <w14:solidFill>
                    <w14:schemeClr w14:val="tx1"/>
                  </w14:solidFill>
                </w14:textFill>
              </w:rPr>
              <w:t>现状</w:t>
            </w:r>
            <w:r>
              <w:rPr>
                <w:color w:val="000000" w:themeColor="text1"/>
                <w:kern w:val="0"/>
                <w14:textFill>
                  <w14:solidFill>
                    <w14:schemeClr w14:val="tx1"/>
                  </w14:solidFill>
                </w14:textFill>
              </w:rPr>
              <w:t>浓度均</w:t>
            </w:r>
            <w:r>
              <w:rPr>
                <w:rFonts w:hint="eastAsia"/>
                <w:color w:val="000000" w:themeColor="text1"/>
                <w:kern w:val="0"/>
                <w14:textFill>
                  <w14:solidFill>
                    <w14:schemeClr w14:val="tx1"/>
                  </w14:solidFill>
                </w14:textFill>
              </w:rPr>
              <w:t>能够满足</w:t>
            </w:r>
            <w:r>
              <w:t>《地表水环境质量标准》（GB3838-20</w:t>
            </w:r>
            <w:r>
              <w:rPr>
                <w:rFonts w:hint="eastAsia"/>
              </w:rPr>
              <w:t>02</w:t>
            </w:r>
            <w:r>
              <w:t>）</w:t>
            </w:r>
            <w:r>
              <w:rPr>
                <w:rFonts w:hint="eastAsia"/>
              </w:rPr>
              <w:t>IV</w:t>
            </w:r>
            <w:r>
              <w:t>类水域的水质标准</w:t>
            </w:r>
            <w:r>
              <w:rPr>
                <w:color w:val="000000" w:themeColor="text1"/>
                <w:kern w:val="0"/>
                <w14:textFill>
                  <w14:solidFill>
                    <w14:schemeClr w14:val="tx1"/>
                  </w14:solidFill>
                </w14:textFill>
              </w:rPr>
              <w:t>。</w:t>
            </w:r>
          </w:p>
          <w:p w14:paraId="1F304872">
            <w:pPr>
              <w:pStyle w:val="28"/>
              <w:ind w:firstLine="482"/>
              <w:rPr>
                <w:b/>
                <w:color w:val="000000" w:themeColor="text1"/>
                <w14:textFill>
                  <w14:solidFill>
                    <w14:schemeClr w14:val="tx1"/>
                  </w14:solidFill>
                </w14:textFill>
              </w:rPr>
            </w:pPr>
            <w:r>
              <w:rPr>
                <w:b/>
                <w:color w:val="000000" w:themeColor="text1"/>
                <w14:textFill>
                  <w14:solidFill>
                    <w14:schemeClr w14:val="tx1"/>
                  </w14:solidFill>
                </w14:textFill>
              </w:rPr>
              <w:t>3、声环境质量现状</w:t>
            </w:r>
          </w:p>
          <w:p w14:paraId="1A5802E0">
            <w:pPr>
              <w:pStyle w:val="28"/>
              <w:ind w:firstLine="480"/>
              <w:rPr>
                <w:sz w:val="21"/>
                <w:szCs w:val="21"/>
              </w:rPr>
            </w:pPr>
            <w:r>
              <w:rPr>
                <w:rFonts w:hint="eastAsia"/>
              </w:rPr>
              <w:t>根据《建设项目环境影响报告表编制技术指南（污染影响类）（试行）》，本项目厂界外周边50米范围内不存在声环境保护目标，因此不进行声环境质量现状调查</w:t>
            </w:r>
            <w:r>
              <w:rPr>
                <w:color w:val="000000" w:themeColor="text1"/>
                <w14:textFill>
                  <w14:solidFill>
                    <w14:schemeClr w14:val="tx1"/>
                  </w14:solidFill>
                </w14:textFill>
              </w:rPr>
              <w:t>。</w:t>
            </w:r>
          </w:p>
          <w:p w14:paraId="3D730D76">
            <w:pPr>
              <w:snapToGrid w:val="0"/>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4、地下水、土壤环境质量现状</w:t>
            </w:r>
          </w:p>
          <w:p w14:paraId="2E2CDC98">
            <w:pPr>
              <w:pStyle w:val="28"/>
              <w:ind w:firstLine="480"/>
              <w:rPr>
                <w:color w:val="FF0000"/>
              </w:rPr>
            </w:pPr>
            <w:r>
              <w:rPr>
                <w:rFonts w:hint="eastAsia"/>
              </w:rPr>
              <w:t>根据《建设项目环境影响报告表编制技术指南（污染影响类）（试行）》，原则上不开展地下水和土壤环境质量现状调查。本项目可能对地下水、土壤有影响的主要为污水处理站、危险废物。现有工程车间全部地面均已做硬化处理，污水处理站已做防渗、防腐等措施，危险废物暂存于危废暂存间内，采用专用容器收集，并置于托盘上，确保不渗漏，危废暂存间根据《危险废物贮存污染控制标准》（GB18597-2023）的要求设置防渗措施，本项目废水、危险废物不与土壤接触，不会下渗影响地下水。因此不再进行地下水、土壤质量现状调查。</w:t>
            </w:r>
          </w:p>
          <w:p w14:paraId="618E40B7">
            <w:pPr>
              <w:pStyle w:val="28"/>
              <w:ind w:firstLine="482"/>
              <w:rPr>
                <w:b/>
                <w:bCs/>
              </w:rPr>
            </w:pPr>
            <w:r>
              <w:rPr>
                <w:b/>
                <w:bCs/>
              </w:rPr>
              <w:t>5、生态环境现状</w:t>
            </w:r>
          </w:p>
          <w:p w14:paraId="29559D67">
            <w:pPr>
              <w:pStyle w:val="28"/>
              <w:ind w:firstLine="480"/>
            </w:pPr>
            <w:r>
              <w:t>根据《建设项目环境影响报告表编制技术指南（污染影响类）（试行）》，产业园区外建设项目新增用地且用地范围内含有生态环境保护目标时，应进行生态现状调查。本项目位于</w:t>
            </w:r>
            <w:r>
              <w:rPr>
                <w:rFonts w:hint="eastAsia"/>
              </w:rPr>
              <w:t>获嘉先进制造业开发区</w:t>
            </w:r>
            <w:r>
              <w:t>且用地范围内不含有生态环境保护目标，因此不进行生态环境现状调查。</w:t>
            </w:r>
          </w:p>
        </w:tc>
      </w:tr>
      <w:tr w14:paraId="3D905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699" w:type="dxa"/>
            <w:vAlign w:val="center"/>
          </w:tcPr>
          <w:p w14:paraId="6F7D6BE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环境保护目标</w:t>
            </w:r>
          </w:p>
        </w:tc>
        <w:tc>
          <w:tcPr>
            <w:tcW w:w="8815" w:type="dxa"/>
            <w:vAlign w:val="center"/>
          </w:tcPr>
          <w:p w14:paraId="39A06617">
            <w:pPr>
              <w:snapToGrid w:val="0"/>
              <w:spacing w:line="460" w:lineRule="exact"/>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主要环境保护目标：</w:t>
            </w:r>
          </w:p>
          <w:p w14:paraId="5979419E">
            <w:pPr>
              <w:pStyle w:val="28"/>
              <w:ind w:firstLine="480"/>
              <w:rPr>
                <w:rFonts w:hint="eastAsia" w:ascii="宋体" w:hAnsi="宋体"/>
                <w:szCs w:val="24"/>
              </w:rPr>
            </w:pPr>
            <w:r>
              <w:rPr>
                <w:rFonts w:hint="eastAsia"/>
              </w:rPr>
              <w:t>本项目</w:t>
            </w:r>
            <w:r>
              <w:rPr>
                <w:rFonts w:hint="eastAsia" w:ascii="宋体" w:hAnsi="宋体"/>
                <w:szCs w:val="24"/>
              </w:rPr>
              <w:t>保护目标概况如下表：</w:t>
            </w:r>
          </w:p>
          <w:p w14:paraId="78851050">
            <w:pPr>
              <w:pStyle w:val="67"/>
              <w:ind w:firstLine="480"/>
            </w:pPr>
            <w:r>
              <w:t xml:space="preserve">                </w:t>
            </w:r>
            <w:r>
              <w:rPr>
                <w:rFonts w:ascii="黑体" w:hAnsi="黑体"/>
              </w:rPr>
              <w:t>厂界周围保护目标概况</w:t>
            </w:r>
          </w:p>
          <w:tbl>
            <w:tblPr>
              <w:tblStyle w:val="21"/>
              <w:tblW w:w="0" w:type="auto"/>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3"/>
              <w:gridCol w:w="1134"/>
              <w:gridCol w:w="850"/>
              <w:gridCol w:w="1134"/>
              <w:gridCol w:w="992"/>
              <w:gridCol w:w="1134"/>
              <w:gridCol w:w="2602"/>
            </w:tblGrid>
            <w:tr w14:paraId="4F86164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3" w:type="dxa"/>
                  <w:vAlign w:val="center"/>
                </w:tcPr>
                <w:p w14:paraId="23CFD5A9">
                  <w:pPr>
                    <w:pStyle w:val="86"/>
                    <w:rPr>
                      <w:b/>
                      <w:bCs w:val="0"/>
                    </w:rPr>
                  </w:pPr>
                  <w:r>
                    <w:rPr>
                      <w:b/>
                      <w:bCs w:val="0"/>
                    </w:rPr>
                    <w:t>保护类别</w:t>
                  </w:r>
                </w:p>
              </w:tc>
              <w:tc>
                <w:tcPr>
                  <w:tcW w:w="1134" w:type="dxa"/>
                  <w:vAlign w:val="center"/>
                </w:tcPr>
                <w:p w14:paraId="77446CF6">
                  <w:pPr>
                    <w:pStyle w:val="86"/>
                    <w:rPr>
                      <w:b/>
                      <w:bCs w:val="0"/>
                    </w:rPr>
                  </w:pPr>
                  <w:r>
                    <w:rPr>
                      <w:rFonts w:hint="eastAsia"/>
                      <w:b/>
                      <w:bCs w:val="0"/>
                    </w:rPr>
                    <w:t>环境保护</w:t>
                  </w:r>
                  <w:r>
                    <w:rPr>
                      <w:b/>
                      <w:bCs w:val="0"/>
                    </w:rPr>
                    <w:t>目标名称</w:t>
                  </w:r>
                </w:p>
              </w:tc>
              <w:tc>
                <w:tcPr>
                  <w:tcW w:w="850" w:type="dxa"/>
                  <w:vAlign w:val="center"/>
                </w:tcPr>
                <w:p w14:paraId="17151EE4">
                  <w:pPr>
                    <w:pStyle w:val="86"/>
                    <w:rPr>
                      <w:b/>
                      <w:bCs w:val="0"/>
                    </w:rPr>
                  </w:pPr>
                  <w:r>
                    <w:rPr>
                      <w:b/>
                      <w:bCs w:val="0"/>
                    </w:rPr>
                    <w:t>保</w:t>
                  </w:r>
                  <w:r>
                    <w:rPr>
                      <w:rFonts w:hint="eastAsia"/>
                      <w:b/>
                      <w:bCs w:val="0"/>
                    </w:rPr>
                    <w:t>护</w:t>
                  </w:r>
                  <w:r>
                    <w:rPr>
                      <w:b/>
                      <w:bCs w:val="0"/>
                    </w:rPr>
                    <w:t>对象</w:t>
                  </w:r>
                </w:p>
              </w:tc>
              <w:tc>
                <w:tcPr>
                  <w:tcW w:w="1134" w:type="dxa"/>
                  <w:vAlign w:val="center"/>
                </w:tcPr>
                <w:p w14:paraId="204EDEAE">
                  <w:pPr>
                    <w:pStyle w:val="86"/>
                    <w:rPr>
                      <w:b/>
                      <w:bCs w:val="0"/>
                    </w:rPr>
                  </w:pPr>
                  <w:r>
                    <w:rPr>
                      <w:b/>
                      <w:bCs w:val="0"/>
                    </w:rPr>
                    <w:t>保护内容</w:t>
                  </w:r>
                </w:p>
              </w:tc>
              <w:tc>
                <w:tcPr>
                  <w:tcW w:w="992" w:type="dxa"/>
                  <w:vAlign w:val="center"/>
                </w:tcPr>
                <w:p w14:paraId="0CC1887D">
                  <w:pPr>
                    <w:pStyle w:val="86"/>
                    <w:rPr>
                      <w:b/>
                      <w:bCs w:val="0"/>
                    </w:rPr>
                  </w:pPr>
                  <w:r>
                    <w:rPr>
                      <w:b/>
                      <w:bCs w:val="0"/>
                    </w:rPr>
                    <w:t>方向</w:t>
                  </w:r>
                </w:p>
              </w:tc>
              <w:tc>
                <w:tcPr>
                  <w:tcW w:w="1134" w:type="dxa"/>
                  <w:vAlign w:val="center"/>
                </w:tcPr>
                <w:p w14:paraId="779DDDA0">
                  <w:pPr>
                    <w:pStyle w:val="86"/>
                    <w:rPr>
                      <w:b/>
                      <w:bCs w:val="0"/>
                    </w:rPr>
                  </w:pPr>
                  <w:r>
                    <w:rPr>
                      <w:b/>
                      <w:bCs w:val="0"/>
                    </w:rPr>
                    <w:t>距离</w:t>
                  </w:r>
                  <w:r>
                    <w:rPr>
                      <w:rFonts w:hint="eastAsia"/>
                      <w:b/>
                      <w:bCs w:val="0"/>
                    </w:rPr>
                    <w:t>(m)</w:t>
                  </w:r>
                </w:p>
              </w:tc>
              <w:tc>
                <w:tcPr>
                  <w:tcW w:w="2602" w:type="dxa"/>
                  <w:vAlign w:val="center"/>
                </w:tcPr>
                <w:p w14:paraId="7E4C487E">
                  <w:pPr>
                    <w:pStyle w:val="86"/>
                    <w:rPr>
                      <w:b/>
                      <w:bCs w:val="0"/>
                    </w:rPr>
                  </w:pPr>
                  <w:r>
                    <w:rPr>
                      <w:b/>
                      <w:bCs w:val="0"/>
                    </w:rPr>
                    <w:t>保护级别</w:t>
                  </w:r>
                </w:p>
              </w:tc>
            </w:tr>
            <w:tr w14:paraId="2E3EDE6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3" w:type="dxa"/>
                  <w:vMerge w:val="restart"/>
                  <w:vAlign w:val="center"/>
                </w:tcPr>
                <w:p w14:paraId="6610F85B">
                  <w:pPr>
                    <w:pStyle w:val="86"/>
                  </w:pPr>
                  <w:r>
                    <w:rPr>
                      <w:rFonts w:hint="eastAsia"/>
                    </w:rPr>
                    <w:t>大气环境</w:t>
                  </w:r>
                </w:p>
              </w:tc>
              <w:tc>
                <w:tcPr>
                  <w:tcW w:w="1134" w:type="dxa"/>
                  <w:vAlign w:val="center"/>
                </w:tcPr>
                <w:p w14:paraId="3414AA1A">
                  <w:pPr>
                    <w:pStyle w:val="86"/>
                  </w:pPr>
                  <w:r>
                    <w:rPr>
                      <w:rFonts w:hint="eastAsia"/>
                    </w:rPr>
                    <w:t>嘉苑社区</w:t>
                  </w:r>
                </w:p>
              </w:tc>
              <w:tc>
                <w:tcPr>
                  <w:tcW w:w="850" w:type="dxa"/>
                  <w:vAlign w:val="center"/>
                </w:tcPr>
                <w:p w14:paraId="17CE88A1">
                  <w:pPr>
                    <w:pStyle w:val="86"/>
                  </w:pPr>
                  <w:r>
                    <w:rPr>
                      <w:rFonts w:hint="eastAsia"/>
                    </w:rPr>
                    <w:t>居民区</w:t>
                  </w:r>
                </w:p>
              </w:tc>
              <w:tc>
                <w:tcPr>
                  <w:tcW w:w="1134" w:type="dxa"/>
                  <w:vAlign w:val="center"/>
                </w:tcPr>
                <w:p w14:paraId="695C5284">
                  <w:pPr>
                    <w:pStyle w:val="86"/>
                  </w:pPr>
                  <w:r>
                    <w:rPr>
                      <w:rFonts w:hint="eastAsia"/>
                    </w:rPr>
                    <w:t>居民</w:t>
                  </w:r>
                </w:p>
              </w:tc>
              <w:tc>
                <w:tcPr>
                  <w:tcW w:w="992" w:type="dxa"/>
                  <w:vAlign w:val="center"/>
                </w:tcPr>
                <w:p w14:paraId="15D67D7A">
                  <w:pPr>
                    <w:pStyle w:val="86"/>
                  </w:pPr>
                  <w:r>
                    <w:rPr>
                      <w:rFonts w:hint="eastAsia"/>
                    </w:rPr>
                    <w:t>东南</w:t>
                  </w:r>
                </w:p>
              </w:tc>
              <w:tc>
                <w:tcPr>
                  <w:tcW w:w="1134" w:type="dxa"/>
                  <w:vAlign w:val="center"/>
                </w:tcPr>
                <w:p w14:paraId="60987DE5">
                  <w:pPr>
                    <w:pStyle w:val="86"/>
                  </w:pPr>
                  <w:r>
                    <w:rPr>
                      <w:rFonts w:hint="eastAsia"/>
                    </w:rPr>
                    <w:t>8</w:t>
                  </w:r>
                  <w:r>
                    <w:t>0</w:t>
                  </w:r>
                </w:p>
              </w:tc>
              <w:tc>
                <w:tcPr>
                  <w:tcW w:w="2602" w:type="dxa"/>
                  <w:vMerge w:val="restart"/>
                  <w:vAlign w:val="center"/>
                </w:tcPr>
                <w:p w14:paraId="5522AC75">
                  <w:pPr>
                    <w:pStyle w:val="86"/>
                    <w:rPr>
                      <w:szCs w:val="21"/>
                    </w:rPr>
                  </w:pPr>
                  <w:r>
                    <w:t>《环境空气质量标准》（GB3095-</w:t>
                  </w:r>
                  <w:r>
                    <w:rPr>
                      <w:rFonts w:hint="eastAsia"/>
                    </w:rPr>
                    <w:t>2012</w:t>
                  </w:r>
                  <w:r>
                    <w:t>）二级</w:t>
                  </w:r>
                </w:p>
              </w:tc>
            </w:tr>
            <w:tr w14:paraId="5ED8BB8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3" w:type="dxa"/>
                  <w:vMerge w:val="continue"/>
                  <w:vAlign w:val="center"/>
                </w:tcPr>
                <w:p w14:paraId="537536A8">
                  <w:pPr>
                    <w:pStyle w:val="86"/>
                  </w:pPr>
                </w:p>
              </w:tc>
              <w:tc>
                <w:tcPr>
                  <w:tcW w:w="1134" w:type="dxa"/>
                  <w:vAlign w:val="center"/>
                </w:tcPr>
                <w:p w14:paraId="52BEB128">
                  <w:pPr>
                    <w:pStyle w:val="86"/>
                  </w:pPr>
                  <w:r>
                    <w:rPr>
                      <w:rFonts w:hint="eastAsia"/>
                    </w:rPr>
                    <w:t>嘉苑小学</w:t>
                  </w:r>
                </w:p>
              </w:tc>
              <w:tc>
                <w:tcPr>
                  <w:tcW w:w="850" w:type="dxa"/>
                  <w:vAlign w:val="center"/>
                </w:tcPr>
                <w:p w14:paraId="789F3B79">
                  <w:pPr>
                    <w:pStyle w:val="86"/>
                  </w:pPr>
                  <w:r>
                    <w:rPr>
                      <w:rFonts w:hint="eastAsia"/>
                    </w:rPr>
                    <w:t>文化区</w:t>
                  </w:r>
                </w:p>
              </w:tc>
              <w:tc>
                <w:tcPr>
                  <w:tcW w:w="1134" w:type="dxa"/>
                  <w:vAlign w:val="center"/>
                </w:tcPr>
                <w:p w14:paraId="0FB97909">
                  <w:pPr>
                    <w:pStyle w:val="86"/>
                  </w:pPr>
                  <w:r>
                    <w:rPr>
                      <w:rFonts w:hint="eastAsia"/>
                    </w:rPr>
                    <w:t>师生</w:t>
                  </w:r>
                </w:p>
              </w:tc>
              <w:tc>
                <w:tcPr>
                  <w:tcW w:w="992" w:type="dxa"/>
                  <w:vAlign w:val="center"/>
                </w:tcPr>
                <w:p w14:paraId="59650D48">
                  <w:pPr>
                    <w:pStyle w:val="86"/>
                  </w:pPr>
                  <w:r>
                    <w:rPr>
                      <w:rFonts w:hint="eastAsia"/>
                    </w:rPr>
                    <w:t>东南</w:t>
                  </w:r>
                </w:p>
              </w:tc>
              <w:tc>
                <w:tcPr>
                  <w:tcW w:w="1134" w:type="dxa"/>
                  <w:vAlign w:val="center"/>
                </w:tcPr>
                <w:p w14:paraId="14BB7A25">
                  <w:pPr>
                    <w:pStyle w:val="86"/>
                  </w:pPr>
                  <w:r>
                    <w:t>365</w:t>
                  </w:r>
                </w:p>
              </w:tc>
              <w:tc>
                <w:tcPr>
                  <w:tcW w:w="2602" w:type="dxa"/>
                  <w:vMerge w:val="continue"/>
                  <w:vAlign w:val="center"/>
                </w:tcPr>
                <w:p w14:paraId="7749A1FF">
                  <w:pPr>
                    <w:pStyle w:val="86"/>
                  </w:pPr>
                </w:p>
              </w:tc>
            </w:tr>
            <w:tr w14:paraId="2509D3E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3" w:type="dxa"/>
                  <w:vMerge w:val="continue"/>
                  <w:vAlign w:val="center"/>
                </w:tcPr>
                <w:p w14:paraId="4C967F8D">
                  <w:pPr>
                    <w:pStyle w:val="86"/>
                  </w:pPr>
                </w:p>
              </w:tc>
              <w:tc>
                <w:tcPr>
                  <w:tcW w:w="1134" w:type="dxa"/>
                  <w:vAlign w:val="center"/>
                </w:tcPr>
                <w:p w14:paraId="44A82D6C">
                  <w:pPr>
                    <w:pStyle w:val="86"/>
                  </w:pPr>
                  <w:r>
                    <w:rPr>
                      <w:rFonts w:hint="eastAsia"/>
                    </w:rPr>
                    <w:t>马庄村</w:t>
                  </w:r>
                </w:p>
              </w:tc>
              <w:tc>
                <w:tcPr>
                  <w:tcW w:w="850" w:type="dxa"/>
                  <w:vAlign w:val="center"/>
                </w:tcPr>
                <w:p w14:paraId="02E362FA">
                  <w:pPr>
                    <w:pStyle w:val="86"/>
                  </w:pPr>
                  <w:r>
                    <w:rPr>
                      <w:rFonts w:hint="eastAsia"/>
                    </w:rPr>
                    <w:t>居民区</w:t>
                  </w:r>
                </w:p>
              </w:tc>
              <w:tc>
                <w:tcPr>
                  <w:tcW w:w="1134" w:type="dxa"/>
                  <w:vAlign w:val="center"/>
                </w:tcPr>
                <w:p w14:paraId="6858C305">
                  <w:pPr>
                    <w:pStyle w:val="86"/>
                  </w:pPr>
                  <w:r>
                    <w:rPr>
                      <w:rFonts w:hint="eastAsia"/>
                    </w:rPr>
                    <w:t>居民</w:t>
                  </w:r>
                </w:p>
              </w:tc>
              <w:tc>
                <w:tcPr>
                  <w:tcW w:w="992" w:type="dxa"/>
                  <w:vAlign w:val="center"/>
                </w:tcPr>
                <w:p w14:paraId="303E8B7C">
                  <w:pPr>
                    <w:pStyle w:val="86"/>
                  </w:pPr>
                  <w:r>
                    <w:rPr>
                      <w:rFonts w:hint="eastAsia"/>
                    </w:rPr>
                    <w:t>南</w:t>
                  </w:r>
                </w:p>
              </w:tc>
              <w:tc>
                <w:tcPr>
                  <w:tcW w:w="1134" w:type="dxa"/>
                  <w:vAlign w:val="center"/>
                </w:tcPr>
                <w:p w14:paraId="6A79D768">
                  <w:pPr>
                    <w:pStyle w:val="86"/>
                  </w:pPr>
                  <w:r>
                    <w:rPr>
                      <w:rFonts w:hint="eastAsia"/>
                    </w:rPr>
                    <w:t>2</w:t>
                  </w:r>
                  <w:r>
                    <w:t>10</w:t>
                  </w:r>
                </w:p>
              </w:tc>
              <w:tc>
                <w:tcPr>
                  <w:tcW w:w="2602" w:type="dxa"/>
                  <w:vMerge w:val="continue"/>
                  <w:vAlign w:val="center"/>
                </w:tcPr>
                <w:p w14:paraId="5F4995EF">
                  <w:pPr>
                    <w:pStyle w:val="86"/>
                  </w:pPr>
                </w:p>
              </w:tc>
            </w:tr>
            <w:tr w14:paraId="5C5C584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3" w:type="dxa"/>
                  <w:vMerge w:val="continue"/>
                  <w:vAlign w:val="center"/>
                </w:tcPr>
                <w:p w14:paraId="05133C35">
                  <w:pPr>
                    <w:pStyle w:val="86"/>
                  </w:pPr>
                </w:p>
              </w:tc>
              <w:tc>
                <w:tcPr>
                  <w:tcW w:w="1134" w:type="dxa"/>
                  <w:vAlign w:val="center"/>
                </w:tcPr>
                <w:p w14:paraId="4DF97753">
                  <w:pPr>
                    <w:pStyle w:val="86"/>
                  </w:pPr>
                  <w:r>
                    <w:rPr>
                      <w:rFonts w:hint="eastAsia"/>
                    </w:rPr>
                    <w:t>获嘉县新时代学校</w:t>
                  </w:r>
                </w:p>
              </w:tc>
              <w:tc>
                <w:tcPr>
                  <w:tcW w:w="850" w:type="dxa"/>
                  <w:vAlign w:val="center"/>
                </w:tcPr>
                <w:p w14:paraId="76637C39">
                  <w:pPr>
                    <w:pStyle w:val="86"/>
                  </w:pPr>
                  <w:r>
                    <w:rPr>
                      <w:rFonts w:hint="eastAsia"/>
                    </w:rPr>
                    <w:t>文化区</w:t>
                  </w:r>
                </w:p>
              </w:tc>
              <w:tc>
                <w:tcPr>
                  <w:tcW w:w="1134" w:type="dxa"/>
                  <w:vAlign w:val="center"/>
                </w:tcPr>
                <w:p w14:paraId="61A18513">
                  <w:pPr>
                    <w:pStyle w:val="86"/>
                  </w:pPr>
                  <w:r>
                    <w:rPr>
                      <w:rFonts w:hint="eastAsia"/>
                    </w:rPr>
                    <w:t>师生</w:t>
                  </w:r>
                </w:p>
              </w:tc>
              <w:tc>
                <w:tcPr>
                  <w:tcW w:w="992" w:type="dxa"/>
                  <w:vAlign w:val="center"/>
                </w:tcPr>
                <w:p w14:paraId="0C7B192D">
                  <w:pPr>
                    <w:pStyle w:val="86"/>
                  </w:pPr>
                  <w:r>
                    <w:rPr>
                      <w:rFonts w:hint="eastAsia"/>
                    </w:rPr>
                    <w:t>西北</w:t>
                  </w:r>
                </w:p>
              </w:tc>
              <w:tc>
                <w:tcPr>
                  <w:tcW w:w="1134" w:type="dxa"/>
                  <w:vAlign w:val="center"/>
                </w:tcPr>
                <w:p w14:paraId="69817CB5">
                  <w:pPr>
                    <w:pStyle w:val="86"/>
                  </w:pPr>
                  <w:r>
                    <w:t>282</w:t>
                  </w:r>
                </w:p>
              </w:tc>
              <w:tc>
                <w:tcPr>
                  <w:tcW w:w="2602" w:type="dxa"/>
                  <w:vMerge w:val="continue"/>
                  <w:vAlign w:val="center"/>
                </w:tcPr>
                <w:p w14:paraId="279A0FC9">
                  <w:pPr>
                    <w:pStyle w:val="86"/>
                  </w:pPr>
                </w:p>
              </w:tc>
            </w:tr>
            <w:tr w14:paraId="2F8EDEB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3" w:type="dxa"/>
                  <w:vMerge w:val="continue"/>
                  <w:vAlign w:val="center"/>
                </w:tcPr>
                <w:p w14:paraId="2F1F9BB4">
                  <w:pPr>
                    <w:pStyle w:val="86"/>
                  </w:pPr>
                </w:p>
              </w:tc>
              <w:tc>
                <w:tcPr>
                  <w:tcW w:w="1134" w:type="dxa"/>
                  <w:vAlign w:val="center"/>
                </w:tcPr>
                <w:p w14:paraId="6AA50A53">
                  <w:pPr>
                    <w:pStyle w:val="86"/>
                  </w:pPr>
                  <w:r>
                    <w:rPr>
                      <w:rFonts w:hint="eastAsia"/>
                    </w:rPr>
                    <w:t>岳庄社区</w:t>
                  </w:r>
                </w:p>
              </w:tc>
              <w:tc>
                <w:tcPr>
                  <w:tcW w:w="850" w:type="dxa"/>
                  <w:vAlign w:val="center"/>
                </w:tcPr>
                <w:p w14:paraId="588A0C5C">
                  <w:pPr>
                    <w:pStyle w:val="86"/>
                  </w:pPr>
                  <w:r>
                    <w:rPr>
                      <w:rFonts w:hint="eastAsia"/>
                    </w:rPr>
                    <w:t>居民区</w:t>
                  </w:r>
                </w:p>
              </w:tc>
              <w:tc>
                <w:tcPr>
                  <w:tcW w:w="1134" w:type="dxa"/>
                  <w:vAlign w:val="center"/>
                </w:tcPr>
                <w:p w14:paraId="43090914">
                  <w:pPr>
                    <w:pStyle w:val="86"/>
                  </w:pPr>
                  <w:r>
                    <w:rPr>
                      <w:rFonts w:hint="eastAsia"/>
                    </w:rPr>
                    <w:t>居民</w:t>
                  </w:r>
                </w:p>
              </w:tc>
              <w:tc>
                <w:tcPr>
                  <w:tcW w:w="992" w:type="dxa"/>
                  <w:vAlign w:val="center"/>
                </w:tcPr>
                <w:p w14:paraId="4CAE0E12">
                  <w:pPr>
                    <w:pStyle w:val="86"/>
                  </w:pPr>
                  <w:r>
                    <w:rPr>
                      <w:rFonts w:hint="eastAsia"/>
                    </w:rPr>
                    <w:t>东</w:t>
                  </w:r>
                </w:p>
              </w:tc>
              <w:tc>
                <w:tcPr>
                  <w:tcW w:w="1134" w:type="dxa"/>
                  <w:vAlign w:val="center"/>
                </w:tcPr>
                <w:p w14:paraId="4C5E9F28">
                  <w:pPr>
                    <w:pStyle w:val="86"/>
                  </w:pPr>
                  <w:r>
                    <w:rPr>
                      <w:rFonts w:hint="eastAsia"/>
                    </w:rPr>
                    <w:t>4</w:t>
                  </w:r>
                  <w:r>
                    <w:t>17</w:t>
                  </w:r>
                </w:p>
              </w:tc>
              <w:tc>
                <w:tcPr>
                  <w:tcW w:w="2602" w:type="dxa"/>
                  <w:vMerge w:val="continue"/>
                  <w:vAlign w:val="center"/>
                </w:tcPr>
                <w:p w14:paraId="650C9A78">
                  <w:pPr>
                    <w:pStyle w:val="86"/>
                  </w:pPr>
                </w:p>
              </w:tc>
            </w:tr>
          </w:tbl>
          <w:p w14:paraId="0385C2D7">
            <w:pPr>
              <w:pStyle w:val="28"/>
              <w:ind w:firstLine="480"/>
              <w:rPr>
                <w:rFonts w:hint="eastAsia" w:ascii="宋体" w:hAnsi="宋体"/>
              </w:rPr>
            </w:pPr>
          </w:p>
        </w:tc>
      </w:tr>
      <w:tr w14:paraId="6B12A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99" w:type="dxa"/>
            <w:tcMar>
              <w:left w:w="28" w:type="dxa"/>
              <w:right w:w="28" w:type="dxa"/>
            </w:tcMar>
            <w:vAlign w:val="center"/>
          </w:tcPr>
          <w:p w14:paraId="6651056A">
            <w:pPr>
              <w:adjustRightInd w:val="0"/>
              <w:snapToGrid w:val="0"/>
              <w:jc w:val="center"/>
              <w:rPr>
                <w:color w:val="000000" w:themeColor="text1"/>
                <w:kern w:val="0"/>
                <w:sz w:val="24"/>
                <w14:textFill>
                  <w14:solidFill>
                    <w14:schemeClr w14:val="tx1"/>
                  </w14:solidFill>
                </w14:textFill>
              </w:rPr>
            </w:pPr>
            <w:r>
              <w:rPr>
                <w:kern w:val="0"/>
                <w:sz w:val="24"/>
              </w:rPr>
              <w:t>污染物排放控制标准</w:t>
            </w:r>
          </w:p>
        </w:tc>
        <w:tc>
          <w:tcPr>
            <w:tcW w:w="8815" w:type="dxa"/>
            <w:vAlign w:val="center"/>
          </w:tcPr>
          <w:p w14:paraId="4D499237">
            <w:pPr>
              <w:pStyle w:val="67"/>
              <w:ind w:firstLine="480"/>
            </w:pPr>
            <w:r>
              <w:t xml:space="preserve">                  污染物排放标准</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851"/>
              <w:gridCol w:w="1276"/>
              <w:gridCol w:w="1843"/>
              <w:gridCol w:w="1761"/>
            </w:tblGrid>
            <w:tr w14:paraId="7B7274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14:paraId="532B3167">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2851" w:type="dxa"/>
                  <w:vAlign w:val="center"/>
                </w:tcPr>
                <w:p w14:paraId="3B13259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标准名称</w:t>
                  </w:r>
                </w:p>
              </w:tc>
              <w:tc>
                <w:tcPr>
                  <w:tcW w:w="3119" w:type="dxa"/>
                  <w:gridSpan w:val="2"/>
                  <w:vAlign w:val="center"/>
                </w:tcPr>
                <w:p w14:paraId="6896F922">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污染因子</w:t>
                  </w:r>
                </w:p>
              </w:tc>
              <w:tc>
                <w:tcPr>
                  <w:tcW w:w="1761" w:type="dxa"/>
                  <w:vAlign w:val="center"/>
                </w:tcPr>
                <w:p w14:paraId="02E08C49">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标准限值</w:t>
                  </w:r>
                </w:p>
              </w:tc>
            </w:tr>
            <w:tr w14:paraId="5615F8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restart"/>
                  <w:vAlign w:val="center"/>
                </w:tcPr>
                <w:p w14:paraId="70EA7F3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2851" w:type="dxa"/>
                  <w:vMerge w:val="restart"/>
                  <w:vAlign w:val="center"/>
                </w:tcPr>
                <w:p w14:paraId="6F1FB30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《合成树脂工业污染物排放标准》（GB31572-2015）含2024年修改单</w:t>
                  </w:r>
                </w:p>
              </w:tc>
              <w:tc>
                <w:tcPr>
                  <w:tcW w:w="1276" w:type="dxa"/>
                  <w:vMerge w:val="restart"/>
                  <w:vAlign w:val="center"/>
                </w:tcPr>
                <w:p w14:paraId="2E230C9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843" w:type="dxa"/>
                  <w:vAlign w:val="center"/>
                </w:tcPr>
                <w:p w14:paraId="11A71E5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1761" w:type="dxa"/>
                  <w:vAlign w:val="center"/>
                </w:tcPr>
                <w:p w14:paraId="534340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60mg/m</w:t>
                  </w:r>
                  <w:r>
                    <w:rPr>
                      <w:color w:val="000000" w:themeColor="text1"/>
                      <w:szCs w:val="21"/>
                      <w:vertAlign w:val="superscript"/>
                      <w14:textFill>
                        <w14:solidFill>
                          <w14:schemeClr w14:val="tx1"/>
                        </w14:solidFill>
                      </w14:textFill>
                    </w:rPr>
                    <w:t>3</w:t>
                  </w:r>
                </w:p>
              </w:tc>
            </w:tr>
            <w:tr w14:paraId="3D6C0E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26047029">
                  <w:pPr>
                    <w:jc w:val="center"/>
                    <w:rPr>
                      <w:color w:val="000000" w:themeColor="text1"/>
                      <w:szCs w:val="21"/>
                      <w14:textFill>
                        <w14:solidFill>
                          <w14:schemeClr w14:val="tx1"/>
                        </w14:solidFill>
                      </w14:textFill>
                    </w:rPr>
                  </w:pPr>
                </w:p>
              </w:tc>
              <w:tc>
                <w:tcPr>
                  <w:tcW w:w="2851" w:type="dxa"/>
                  <w:vMerge w:val="continue"/>
                  <w:vAlign w:val="center"/>
                </w:tcPr>
                <w:p w14:paraId="134F91AA">
                  <w:pPr>
                    <w:jc w:val="center"/>
                    <w:rPr>
                      <w:color w:val="000000" w:themeColor="text1"/>
                      <w:szCs w:val="21"/>
                      <w14:textFill>
                        <w14:solidFill>
                          <w14:schemeClr w14:val="tx1"/>
                        </w14:solidFill>
                      </w14:textFill>
                    </w:rPr>
                  </w:pPr>
                </w:p>
              </w:tc>
              <w:tc>
                <w:tcPr>
                  <w:tcW w:w="1276" w:type="dxa"/>
                  <w:vMerge w:val="continue"/>
                  <w:vAlign w:val="center"/>
                </w:tcPr>
                <w:p w14:paraId="6E93E625">
                  <w:pPr>
                    <w:jc w:val="center"/>
                    <w:rPr>
                      <w:color w:val="000000" w:themeColor="text1"/>
                      <w:szCs w:val="21"/>
                      <w14:textFill>
                        <w14:solidFill>
                          <w14:schemeClr w14:val="tx1"/>
                        </w14:solidFill>
                      </w14:textFill>
                    </w:rPr>
                  </w:pPr>
                </w:p>
              </w:tc>
              <w:tc>
                <w:tcPr>
                  <w:tcW w:w="1843" w:type="dxa"/>
                  <w:vAlign w:val="center"/>
                </w:tcPr>
                <w:p w14:paraId="3AF10C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1761" w:type="dxa"/>
                  <w:vAlign w:val="center"/>
                </w:tcPr>
                <w:p w14:paraId="4C88F6A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4.0mg/m</w:t>
                  </w:r>
                  <w:r>
                    <w:rPr>
                      <w:color w:val="000000" w:themeColor="text1"/>
                      <w:szCs w:val="21"/>
                      <w:vertAlign w:val="superscript"/>
                      <w14:textFill>
                        <w14:solidFill>
                          <w14:schemeClr w14:val="tx1"/>
                        </w14:solidFill>
                      </w14:textFill>
                    </w:rPr>
                    <w:t>3</w:t>
                  </w:r>
                </w:p>
              </w:tc>
            </w:tr>
            <w:tr w14:paraId="76A3D0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7583CB3D">
                  <w:pPr>
                    <w:jc w:val="center"/>
                    <w:rPr>
                      <w:color w:val="000000" w:themeColor="text1"/>
                      <w:szCs w:val="21"/>
                      <w14:textFill>
                        <w14:solidFill>
                          <w14:schemeClr w14:val="tx1"/>
                        </w14:solidFill>
                      </w14:textFill>
                    </w:rPr>
                  </w:pPr>
                </w:p>
              </w:tc>
              <w:tc>
                <w:tcPr>
                  <w:tcW w:w="2851" w:type="dxa"/>
                  <w:vAlign w:val="center"/>
                </w:tcPr>
                <w:p w14:paraId="5C18ECE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《河南省重污染天气重点行业应急减排措施制定技术指南（2024年修订版）》</w:t>
                  </w:r>
                </w:p>
              </w:tc>
              <w:tc>
                <w:tcPr>
                  <w:tcW w:w="1276" w:type="dxa"/>
                  <w:vAlign w:val="center"/>
                </w:tcPr>
                <w:p w14:paraId="4344482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843" w:type="dxa"/>
                  <w:vAlign w:val="center"/>
                </w:tcPr>
                <w:p w14:paraId="2D9201C0">
                  <w:pPr>
                    <w:jc w:val="center"/>
                    <w:rPr>
                      <w:color w:val="000000" w:themeColor="text1"/>
                      <w:szCs w:val="21"/>
                      <w14:textFill>
                        <w14:solidFill>
                          <w14:schemeClr w14:val="tx1"/>
                        </w14:solidFill>
                      </w14:textFill>
                    </w:rPr>
                  </w:pPr>
                  <w:r>
                    <w:rPr>
                      <w:rFonts w:hint="eastAsia"/>
                      <w:szCs w:val="21"/>
                    </w:rPr>
                    <w:t>有组织</w:t>
                  </w:r>
                </w:p>
              </w:tc>
              <w:tc>
                <w:tcPr>
                  <w:tcW w:w="1761" w:type="dxa"/>
                  <w:vAlign w:val="center"/>
                </w:tcPr>
                <w:p w14:paraId="5559F1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0mg/m</w:t>
                  </w:r>
                  <w:r>
                    <w:rPr>
                      <w:color w:val="000000" w:themeColor="text1"/>
                      <w:szCs w:val="21"/>
                      <w:vertAlign w:val="superscript"/>
                      <w14:textFill>
                        <w14:solidFill>
                          <w14:schemeClr w14:val="tx1"/>
                        </w14:solidFill>
                      </w14:textFill>
                    </w:rPr>
                    <w:t>3</w:t>
                  </w:r>
                </w:p>
              </w:tc>
            </w:tr>
            <w:tr w14:paraId="7DB36B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8" w:type="dxa"/>
                  <w:vMerge w:val="continue"/>
                  <w:vAlign w:val="center"/>
                </w:tcPr>
                <w:p w14:paraId="05919DF6">
                  <w:pPr>
                    <w:jc w:val="center"/>
                    <w:rPr>
                      <w:color w:val="000000" w:themeColor="text1"/>
                      <w:szCs w:val="21"/>
                      <w14:textFill>
                        <w14:solidFill>
                          <w14:schemeClr w14:val="tx1"/>
                        </w14:solidFill>
                      </w14:textFill>
                    </w:rPr>
                  </w:pPr>
                </w:p>
              </w:tc>
              <w:tc>
                <w:tcPr>
                  <w:tcW w:w="2851" w:type="dxa"/>
                  <w:vMerge w:val="restart"/>
                  <w:vAlign w:val="center"/>
                </w:tcPr>
                <w:p w14:paraId="3E65A5D5">
                  <w:pPr>
                    <w:jc w:val="center"/>
                    <w:rPr>
                      <w:szCs w:val="21"/>
                    </w:rPr>
                  </w:pPr>
                  <w:r>
                    <w:rPr>
                      <w:rFonts w:hint="eastAsia"/>
                      <w:szCs w:val="21"/>
                    </w:rPr>
                    <w:t>《关于全省开展工业企业挥发性有机物专项治理工作中排放建议值的通知》（豫环攻坚办〔</w:t>
                  </w:r>
                  <w:r>
                    <w:rPr>
                      <w:szCs w:val="21"/>
                    </w:rPr>
                    <w:t>2017</w:t>
                  </w:r>
                  <w:r>
                    <w:rPr>
                      <w:rFonts w:hint="eastAsia"/>
                      <w:szCs w:val="21"/>
                    </w:rPr>
                    <w:t>〕</w:t>
                  </w:r>
                  <w:r>
                    <w:rPr>
                      <w:szCs w:val="21"/>
                    </w:rPr>
                    <w:t>162</w:t>
                  </w:r>
                  <w:r>
                    <w:rPr>
                      <w:rFonts w:hint="eastAsia"/>
                      <w:szCs w:val="21"/>
                    </w:rPr>
                    <w:t>号）</w:t>
                  </w:r>
                </w:p>
              </w:tc>
              <w:tc>
                <w:tcPr>
                  <w:tcW w:w="1276" w:type="dxa"/>
                  <w:vMerge w:val="restart"/>
                  <w:vAlign w:val="center"/>
                </w:tcPr>
                <w:p w14:paraId="5C97B072">
                  <w:pPr>
                    <w:jc w:val="center"/>
                    <w:rPr>
                      <w:szCs w:val="21"/>
                    </w:rPr>
                  </w:pPr>
                  <w:r>
                    <w:rPr>
                      <w:rFonts w:hint="eastAsia"/>
                      <w:szCs w:val="21"/>
                    </w:rPr>
                    <w:t>非甲烷总烃</w:t>
                  </w:r>
                </w:p>
              </w:tc>
              <w:tc>
                <w:tcPr>
                  <w:tcW w:w="1843" w:type="dxa"/>
                  <w:vAlign w:val="center"/>
                </w:tcPr>
                <w:p w14:paraId="4258FDF9">
                  <w:pPr>
                    <w:jc w:val="center"/>
                    <w:rPr>
                      <w:szCs w:val="21"/>
                    </w:rPr>
                  </w:pPr>
                  <w:r>
                    <w:rPr>
                      <w:rFonts w:hint="eastAsia"/>
                      <w:szCs w:val="21"/>
                    </w:rPr>
                    <w:t>有组织</w:t>
                  </w:r>
                </w:p>
              </w:tc>
              <w:tc>
                <w:tcPr>
                  <w:tcW w:w="1761" w:type="dxa"/>
                  <w:vAlign w:val="center"/>
                </w:tcPr>
                <w:p w14:paraId="6B141D42">
                  <w:pPr>
                    <w:jc w:val="center"/>
                    <w:rPr>
                      <w:szCs w:val="21"/>
                    </w:rPr>
                  </w:pPr>
                  <w:r>
                    <w:rPr>
                      <w:rFonts w:hint="eastAsia"/>
                      <w:szCs w:val="21"/>
                    </w:rPr>
                    <w:t>建议去除效率7</w:t>
                  </w:r>
                  <w:r>
                    <w:rPr>
                      <w:szCs w:val="21"/>
                    </w:rPr>
                    <w:t>0%</w:t>
                  </w:r>
                </w:p>
              </w:tc>
            </w:tr>
            <w:tr w14:paraId="74B627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671FD314">
                  <w:pPr>
                    <w:jc w:val="center"/>
                    <w:rPr>
                      <w:color w:val="000000" w:themeColor="text1"/>
                      <w:szCs w:val="21"/>
                      <w14:textFill>
                        <w14:solidFill>
                          <w14:schemeClr w14:val="tx1"/>
                        </w14:solidFill>
                      </w14:textFill>
                    </w:rPr>
                  </w:pPr>
                </w:p>
              </w:tc>
              <w:tc>
                <w:tcPr>
                  <w:tcW w:w="2851" w:type="dxa"/>
                  <w:vMerge w:val="continue"/>
                  <w:vAlign w:val="center"/>
                </w:tcPr>
                <w:p w14:paraId="4AF186FF">
                  <w:pPr>
                    <w:jc w:val="center"/>
                    <w:rPr>
                      <w:szCs w:val="21"/>
                    </w:rPr>
                  </w:pPr>
                </w:p>
              </w:tc>
              <w:tc>
                <w:tcPr>
                  <w:tcW w:w="1276" w:type="dxa"/>
                  <w:vMerge w:val="continue"/>
                  <w:vAlign w:val="center"/>
                </w:tcPr>
                <w:p w14:paraId="2ED4D195">
                  <w:pPr>
                    <w:jc w:val="center"/>
                    <w:rPr>
                      <w:szCs w:val="21"/>
                    </w:rPr>
                  </w:pPr>
                </w:p>
              </w:tc>
              <w:tc>
                <w:tcPr>
                  <w:tcW w:w="1843" w:type="dxa"/>
                  <w:vAlign w:val="center"/>
                </w:tcPr>
                <w:p w14:paraId="35791F04">
                  <w:pPr>
                    <w:jc w:val="center"/>
                    <w:rPr>
                      <w:szCs w:val="21"/>
                    </w:rPr>
                  </w:pPr>
                  <w:r>
                    <w:rPr>
                      <w:rFonts w:hint="eastAsia"/>
                      <w:szCs w:val="21"/>
                    </w:rPr>
                    <w:t>无组织</w:t>
                  </w:r>
                </w:p>
              </w:tc>
              <w:tc>
                <w:tcPr>
                  <w:tcW w:w="1761" w:type="dxa"/>
                  <w:vAlign w:val="center"/>
                </w:tcPr>
                <w:p w14:paraId="02A7A6C9">
                  <w:pPr>
                    <w:jc w:val="center"/>
                    <w:rPr>
                      <w:szCs w:val="21"/>
                    </w:rPr>
                  </w:pPr>
                  <w:r>
                    <w:rPr>
                      <w:szCs w:val="21"/>
                    </w:rPr>
                    <w:t>2</w:t>
                  </w:r>
                  <w:r>
                    <w:rPr>
                      <w:rFonts w:hint="eastAsia"/>
                      <w:szCs w:val="21"/>
                    </w:rPr>
                    <w:t>.</w:t>
                  </w:r>
                  <w:r>
                    <w:rPr>
                      <w:szCs w:val="21"/>
                    </w:rPr>
                    <w:t>0mg/m</w:t>
                  </w:r>
                  <w:r>
                    <w:rPr>
                      <w:szCs w:val="21"/>
                      <w:vertAlign w:val="superscript"/>
                    </w:rPr>
                    <w:t>3</w:t>
                  </w:r>
                </w:p>
              </w:tc>
            </w:tr>
            <w:tr w14:paraId="1D50FB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restart"/>
                  <w:vAlign w:val="center"/>
                </w:tcPr>
                <w:p w14:paraId="0B1D6D6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2851" w:type="dxa"/>
                  <w:vMerge w:val="restart"/>
                  <w:vAlign w:val="center"/>
                </w:tcPr>
                <w:p w14:paraId="02FAA02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《合成树脂工业污染物排放标准》（GB31572-2015）含2024年修改单</w:t>
                  </w:r>
                </w:p>
              </w:tc>
              <w:tc>
                <w:tcPr>
                  <w:tcW w:w="3119" w:type="dxa"/>
                  <w:gridSpan w:val="2"/>
                  <w:vAlign w:val="center"/>
                </w:tcPr>
                <w:p w14:paraId="63DF81B6">
                  <w:pPr>
                    <w:pStyle w:val="86"/>
                    <w:rPr>
                      <w:color w:val="000000" w:themeColor="text1"/>
                      <w14:textFill>
                        <w14:solidFill>
                          <w14:schemeClr w14:val="tx1"/>
                        </w14:solidFill>
                      </w14:textFill>
                    </w:rPr>
                  </w:pPr>
                  <w:r>
                    <w:t>COD</w:t>
                  </w:r>
                </w:p>
              </w:tc>
              <w:tc>
                <w:tcPr>
                  <w:tcW w:w="1761" w:type="dxa"/>
                  <w:vAlign w:val="center"/>
                </w:tcPr>
                <w:p w14:paraId="1080192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063F42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46BC096C">
                  <w:pPr>
                    <w:jc w:val="center"/>
                    <w:rPr>
                      <w:color w:val="000000" w:themeColor="text1"/>
                      <w:szCs w:val="21"/>
                      <w14:textFill>
                        <w14:solidFill>
                          <w14:schemeClr w14:val="tx1"/>
                        </w14:solidFill>
                      </w14:textFill>
                    </w:rPr>
                  </w:pPr>
                </w:p>
              </w:tc>
              <w:tc>
                <w:tcPr>
                  <w:tcW w:w="2851" w:type="dxa"/>
                  <w:vMerge w:val="continue"/>
                  <w:vAlign w:val="center"/>
                </w:tcPr>
                <w:p w14:paraId="36C25D0F">
                  <w:pPr>
                    <w:jc w:val="center"/>
                    <w:rPr>
                      <w:color w:val="000000" w:themeColor="text1"/>
                      <w:szCs w:val="21"/>
                      <w14:textFill>
                        <w14:solidFill>
                          <w14:schemeClr w14:val="tx1"/>
                        </w14:solidFill>
                      </w14:textFill>
                    </w:rPr>
                  </w:pPr>
                </w:p>
              </w:tc>
              <w:tc>
                <w:tcPr>
                  <w:tcW w:w="3119" w:type="dxa"/>
                  <w:gridSpan w:val="2"/>
                  <w:vAlign w:val="center"/>
                </w:tcPr>
                <w:p w14:paraId="5978E6B5">
                  <w:pPr>
                    <w:pStyle w:val="86"/>
                    <w:rPr>
                      <w:color w:val="000000" w:themeColor="text1"/>
                      <w14:textFill>
                        <w14:solidFill>
                          <w14:schemeClr w14:val="tx1"/>
                        </w14:solidFill>
                      </w14:textFill>
                    </w:rPr>
                  </w:pPr>
                  <w:r>
                    <w:rPr>
                      <w:rFonts w:hint="eastAsia"/>
                    </w:rPr>
                    <w:t>SS</w:t>
                  </w:r>
                </w:p>
              </w:tc>
              <w:tc>
                <w:tcPr>
                  <w:tcW w:w="1761" w:type="dxa"/>
                  <w:vAlign w:val="center"/>
                </w:tcPr>
                <w:p w14:paraId="0E379AE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4A4C6D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43E7F302">
                  <w:pPr>
                    <w:jc w:val="center"/>
                    <w:rPr>
                      <w:color w:val="000000" w:themeColor="text1"/>
                      <w:szCs w:val="21"/>
                      <w14:textFill>
                        <w14:solidFill>
                          <w14:schemeClr w14:val="tx1"/>
                        </w14:solidFill>
                      </w14:textFill>
                    </w:rPr>
                  </w:pPr>
                </w:p>
              </w:tc>
              <w:tc>
                <w:tcPr>
                  <w:tcW w:w="2851" w:type="dxa"/>
                  <w:vMerge w:val="continue"/>
                  <w:vAlign w:val="center"/>
                </w:tcPr>
                <w:p w14:paraId="346275E2">
                  <w:pPr>
                    <w:jc w:val="center"/>
                    <w:rPr>
                      <w:color w:val="000000" w:themeColor="text1"/>
                      <w:szCs w:val="21"/>
                      <w14:textFill>
                        <w14:solidFill>
                          <w14:schemeClr w14:val="tx1"/>
                        </w14:solidFill>
                      </w14:textFill>
                    </w:rPr>
                  </w:pPr>
                </w:p>
              </w:tc>
              <w:tc>
                <w:tcPr>
                  <w:tcW w:w="3119" w:type="dxa"/>
                  <w:gridSpan w:val="2"/>
                  <w:vAlign w:val="center"/>
                </w:tcPr>
                <w:p w14:paraId="405136FE">
                  <w:pPr>
                    <w:pStyle w:val="86"/>
                    <w:rPr>
                      <w:color w:val="000000" w:themeColor="text1"/>
                      <w14:textFill>
                        <w14:solidFill>
                          <w14:schemeClr w14:val="tx1"/>
                        </w14:solidFill>
                      </w14:textFill>
                    </w:rPr>
                  </w:pPr>
                  <w:r>
                    <w:t>NH</w:t>
                  </w:r>
                  <w:r>
                    <w:rPr>
                      <w:vertAlign w:val="subscript"/>
                    </w:rPr>
                    <w:t>3</w:t>
                  </w:r>
                  <w:r>
                    <w:t>-N</w:t>
                  </w:r>
                </w:p>
              </w:tc>
              <w:tc>
                <w:tcPr>
                  <w:tcW w:w="1761" w:type="dxa"/>
                  <w:vAlign w:val="center"/>
                </w:tcPr>
                <w:p w14:paraId="06B78A9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15B12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71227B08">
                  <w:pPr>
                    <w:jc w:val="center"/>
                    <w:rPr>
                      <w:color w:val="000000" w:themeColor="text1"/>
                      <w:szCs w:val="21"/>
                      <w14:textFill>
                        <w14:solidFill>
                          <w14:schemeClr w14:val="tx1"/>
                        </w14:solidFill>
                      </w14:textFill>
                    </w:rPr>
                  </w:pPr>
                </w:p>
              </w:tc>
              <w:tc>
                <w:tcPr>
                  <w:tcW w:w="2851" w:type="dxa"/>
                  <w:vMerge w:val="continue"/>
                  <w:vAlign w:val="center"/>
                </w:tcPr>
                <w:p w14:paraId="52D6E2DB">
                  <w:pPr>
                    <w:jc w:val="center"/>
                    <w:rPr>
                      <w:color w:val="000000" w:themeColor="text1"/>
                      <w:szCs w:val="21"/>
                      <w14:textFill>
                        <w14:solidFill>
                          <w14:schemeClr w14:val="tx1"/>
                        </w14:solidFill>
                      </w14:textFill>
                    </w:rPr>
                  </w:pPr>
                </w:p>
              </w:tc>
              <w:tc>
                <w:tcPr>
                  <w:tcW w:w="3119" w:type="dxa"/>
                  <w:gridSpan w:val="2"/>
                  <w:vAlign w:val="center"/>
                </w:tcPr>
                <w:p w14:paraId="18C9DCA1">
                  <w:pPr>
                    <w:pStyle w:val="86"/>
                  </w:pPr>
                  <w:r>
                    <w:t>TP</w:t>
                  </w:r>
                </w:p>
              </w:tc>
              <w:tc>
                <w:tcPr>
                  <w:tcW w:w="1761" w:type="dxa"/>
                  <w:vAlign w:val="center"/>
                </w:tcPr>
                <w:p w14:paraId="1321C3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02A9BF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6DD0E573">
                  <w:pPr>
                    <w:jc w:val="center"/>
                    <w:rPr>
                      <w:color w:val="000000" w:themeColor="text1"/>
                      <w:szCs w:val="21"/>
                      <w14:textFill>
                        <w14:solidFill>
                          <w14:schemeClr w14:val="tx1"/>
                        </w14:solidFill>
                      </w14:textFill>
                    </w:rPr>
                  </w:pPr>
                </w:p>
              </w:tc>
              <w:tc>
                <w:tcPr>
                  <w:tcW w:w="2851" w:type="dxa"/>
                  <w:vMerge w:val="continue"/>
                  <w:vAlign w:val="center"/>
                </w:tcPr>
                <w:p w14:paraId="01FF4D5D">
                  <w:pPr>
                    <w:jc w:val="center"/>
                    <w:rPr>
                      <w:color w:val="000000" w:themeColor="text1"/>
                      <w:szCs w:val="21"/>
                      <w14:textFill>
                        <w14:solidFill>
                          <w14:schemeClr w14:val="tx1"/>
                        </w14:solidFill>
                      </w14:textFill>
                    </w:rPr>
                  </w:pPr>
                </w:p>
              </w:tc>
              <w:tc>
                <w:tcPr>
                  <w:tcW w:w="3119" w:type="dxa"/>
                  <w:gridSpan w:val="2"/>
                  <w:vAlign w:val="center"/>
                </w:tcPr>
                <w:p w14:paraId="3A47A182">
                  <w:pPr>
                    <w:pStyle w:val="86"/>
                    <w:rPr>
                      <w:color w:val="000000" w:themeColor="text1"/>
                      <w14:textFill>
                        <w14:solidFill>
                          <w14:schemeClr w14:val="tx1"/>
                        </w14:solidFill>
                      </w14:textFill>
                    </w:rPr>
                  </w:pPr>
                  <w:r>
                    <w:t>TN</w:t>
                  </w:r>
                </w:p>
              </w:tc>
              <w:tc>
                <w:tcPr>
                  <w:tcW w:w="1761" w:type="dxa"/>
                  <w:vAlign w:val="center"/>
                </w:tcPr>
                <w:p w14:paraId="690BBEF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3C9804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45310766">
                  <w:pPr>
                    <w:jc w:val="center"/>
                    <w:rPr>
                      <w:color w:val="000000" w:themeColor="text1"/>
                      <w:szCs w:val="21"/>
                      <w14:textFill>
                        <w14:solidFill>
                          <w14:schemeClr w14:val="tx1"/>
                        </w14:solidFill>
                      </w14:textFill>
                    </w:rPr>
                  </w:pPr>
                </w:p>
              </w:tc>
              <w:tc>
                <w:tcPr>
                  <w:tcW w:w="2851" w:type="dxa"/>
                  <w:vMerge w:val="continue"/>
                  <w:vAlign w:val="center"/>
                </w:tcPr>
                <w:p w14:paraId="04F5B6AB">
                  <w:pPr>
                    <w:jc w:val="center"/>
                    <w:rPr>
                      <w:color w:val="000000" w:themeColor="text1"/>
                      <w:szCs w:val="21"/>
                      <w14:textFill>
                        <w14:solidFill>
                          <w14:schemeClr w14:val="tx1"/>
                        </w14:solidFill>
                      </w14:textFill>
                    </w:rPr>
                  </w:pPr>
                </w:p>
              </w:tc>
              <w:tc>
                <w:tcPr>
                  <w:tcW w:w="4880" w:type="dxa"/>
                  <w:gridSpan w:val="3"/>
                  <w:vAlign w:val="center"/>
                </w:tcPr>
                <w:p w14:paraId="616D63B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成树脂工业污染物排放标准》（GB31572-2015）含2024年修改单中未对间接排放规定排放限值，本项目废水经管网排入获嘉县香山家园污水处理厂进一步处理，本项目总排口废水执行获嘉县香山家园污水处理厂收水标准</w:t>
                  </w:r>
                </w:p>
              </w:tc>
            </w:tr>
            <w:tr w14:paraId="1A4D93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2EE52D3B">
                  <w:pPr>
                    <w:jc w:val="center"/>
                    <w:rPr>
                      <w:color w:val="000000" w:themeColor="text1"/>
                      <w:szCs w:val="21"/>
                      <w14:textFill>
                        <w14:solidFill>
                          <w14:schemeClr w14:val="tx1"/>
                        </w14:solidFill>
                      </w14:textFill>
                    </w:rPr>
                  </w:pPr>
                </w:p>
              </w:tc>
              <w:tc>
                <w:tcPr>
                  <w:tcW w:w="2851" w:type="dxa"/>
                  <w:vMerge w:val="restart"/>
                  <w:vAlign w:val="center"/>
                </w:tcPr>
                <w:p w14:paraId="2905061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获嘉县香山家园污水处理厂收水标准</w:t>
                  </w:r>
                </w:p>
              </w:tc>
              <w:tc>
                <w:tcPr>
                  <w:tcW w:w="3119" w:type="dxa"/>
                  <w:gridSpan w:val="2"/>
                  <w:vAlign w:val="center"/>
                </w:tcPr>
                <w:p w14:paraId="40C6F858">
                  <w:pPr>
                    <w:pStyle w:val="86"/>
                  </w:pPr>
                  <w:r>
                    <w:t>COD</w:t>
                  </w:r>
                </w:p>
              </w:tc>
              <w:tc>
                <w:tcPr>
                  <w:tcW w:w="1761" w:type="dxa"/>
                  <w:vAlign w:val="center"/>
                </w:tcPr>
                <w:p w14:paraId="2C3221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r>
            <w:tr w14:paraId="32E7E5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2D24BF2F">
                  <w:pPr>
                    <w:jc w:val="center"/>
                    <w:rPr>
                      <w:color w:val="000000" w:themeColor="text1"/>
                      <w:szCs w:val="21"/>
                      <w14:textFill>
                        <w14:solidFill>
                          <w14:schemeClr w14:val="tx1"/>
                        </w14:solidFill>
                      </w14:textFill>
                    </w:rPr>
                  </w:pPr>
                </w:p>
              </w:tc>
              <w:tc>
                <w:tcPr>
                  <w:tcW w:w="2851" w:type="dxa"/>
                  <w:vMerge w:val="continue"/>
                  <w:vAlign w:val="center"/>
                </w:tcPr>
                <w:p w14:paraId="75C73D0C">
                  <w:pPr>
                    <w:jc w:val="center"/>
                    <w:rPr>
                      <w:color w:val="000000" w:themeColor="text1"/>
                      <w:szCs w:val="21"/>
                      <w14:textFill>
                        <w14:solidFill>
                          <w14:schemeClr w14:val="tx1"/>
                        </w14:solidFill>
                      </w14:textFill>
                    </w:rPr>
                  </w:pPr>
                </w:p>
              </w:tc>
              <w:tc>
                <w:tcPr>
                  <w:tcW w:w="3119" w:type="dxa"/>
                  <w:gridSpan w:val="2"/>
                  <w:vAlign w:val="center"/>
                </w:tcPr>
                <w:p w14:paraId="777DE06E">
                  <w:pPr>
                    <w:pStyle w:val="86"/>
                  </w:pPr>
                  <w:r>
                    <w:rPr>
                      <w:rFonts w:hint="eastAsia"/>
                    </w:rPr>
                    <w:t>SS</w:t>
                  </w:r>
                </w:p>
              </w:tc>
              <w:tc>
                <w:tcPr>
                  <w:tcW w:w="1761" w:type="dxa"/>
                  <w:vAlign w:val="center"/>
                </w:tcPr>
                <w:p w14:paraId="3317CB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r>
                    <w:rPr>
                      <w:rFonts w:hint="eastAsia"/>
                      <w:color w:val="000000" w:themeColor="text1"/>
                      <w:szCs w:val="21"/>
                      <w14:textFill>
                        <w14:solidFill>
                          <w14:schemeClr w14:val="tx1"/>
                        </w14:solidFill>
                      </w14:textFill>
                    </w:rPr>
                    <w:t xml:space="preserve"> mg</w:t>
                  </w:r>
                  <w:r>
                    <w:rPr>
                      <w:color w:val="000000" w:themeColor="text1"/>
                      <w:szCs w:val="21"/>
                      <w14:textFill>
                        <w14:solidFill>
                          <w14:schemeClr w14:val="tx1"/>
                        </w14:solidFill>
                      </w14:textFill>
                    </w:rPr>
                    <w:t>/L</w:t>
                  </w:r>
                </w:p>
              </w:tc>
            </w:tr>
            <w:tr w14:paraId="724908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056477FF">
                  <w:pPr>
                    <w:jc w:val="center"/>
                    <w:rPr>
                      <w:color w:val="000000" w:themeColor="text1"/>
                      <w:szCs w:val="21"/>
                      <w14:textFill>
                        <w14:solidFill>
                          <w14:schemeClr w14:val="tx1"/>
                        </w14:solidFill>
                      </w14:textFill>
                    </w:rPr>
                  </w:pPr>
                </w:p>
              </w:tc>
              <w:tc>
                <w:tcPr>
                  <w:tcW w:w="2851" w:type="dxa"/>
                  <w:vMerge w:val="continue"/>
                  <w:vAlign w:val="center"/>
                </w:tcPr>
                <w:p w14:paraId="7A5C354B">
                  <w:pPr>
                    <w:jc w:val="center"/>
                    <w:rPr>
                      <w:color w:val="000000" w:themeColor="text1"/>
                      <w:szCs w:val="21"/>
                      <w14:textFill>
                        <w14:solidFill>
                          <w14:schemeClr w14:val="tx1"/>
                        </w14:solidFill>
                      </w14:textFill>
                    </w:rPr>
                  </w:pPr>
                </w:p>
              </w:tc>
              <w:tc>
                <w:tcPr>
                  <w:tcW w:w="3119" w:type="dxa"/>
                  <w:gridSpan w:val="2"/>
                  <w:vAlign w:val="center"/>
                </w:tcPr>
                <w:p w14:paraId="3E757F46">
                  <w:pPr>
                    <w:pStyle w:val="86"/>
                  </w:pPr>
                  <w:r>
                    <w:t>NH</w:t>
                  </w:r>
                  <w:r>
                    <w:rPr>
                      <w:vertAlign w:val="subscript"/>
                    </w:rPr>
                    <w:t>3</w:t>
                  </w:r>
                  <w:r>
                    <w:t>-N</w:t>
                  </w:r>
                </w:p>
              </w:tc>
              <w:tc>
                <w:tcPr>
                  <w:tcW w:w="1761" w:type="dxa"/>
                  <w:vAlign w:val="center"/>
                </w:tcPr>
                <w:p w14:paraId="3CA072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r>
                    <w:rPr>
                      <w:rFonts w:hint="eastAsia"/>
                      <w:color w:val="000000" w:themeColor="text1"/>
                      <w:szCs w:val="21"/>
                      <w14:textFill>
                        <w14:solidFill>
                          <w14:schemeClr w14:val="tx1"/>
                        </w14:solidFill>
                      </w14:textFill>
                    </w:rPr>
                    <w:t xml:space="preserve"> mg</w:t>
                  </w:r>
                  <w:r>
                    <w:rPr>
                      <w:color w:val="000000" w:themeColor="text1"/>
                      <w:szCs w:val="21"/>
                      <w14:textFill>
                        <w14:solidFill>
                          <w14:schemeClr w14:val="tx1"/>
                        </w14:solidFill>
                      </w14:textFill>
                    </w:rPr>
                    <w:t>/L</w:t>
                  </w:r>
                </w:p>
              </w:tc>
            </w:tr>
            <w:tr w14:paraId="0181B2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76DFD1DB">
                  <w:pPr>
                    <w:jc w:val="center"/>
                    <w:rPr>
                      <w:color w:val="000000" w:themeColor="text1"/>
                      <w:szCs w:val="21"/>
                      <w14:textFill>
                        <w14:solidFill>
                          <w14:schemeClr w14:val="tx1"/>
                        </w14:solidFill>
                      </w14:textFill>
                    </w:rPr>
                  </w:pPr>
                </w:p>
              </w:tc>
              <w:tc>
                <w:tcPr>
                  <w:tcW w:w="2851" w:type="dxa"/>
                  <w:vMerge w:val="continue"/>
                  <w:vAlign w:val="center"/>
                </w:tcPr>
                <w:p w14:paraId="0382B121">
                  <w:pPr>
                    <w:jc w:val="center"/>
                    <w:rPr>
                      <w:color w:val="000000" w:themeColor="text1"/>
                      <w:szCs w:val="21"/>
                      <w14:textFill>
                        <w14:solidFill>
                          <w14:schemeClr w14:val="tx1"/>
                        </w14:solidFill>
                      </w14:textFill>
                    </w:rPr>
                  </w:pPr>
                </w:p>
              </w:tc>
              <w:tc>
                <w:tcPr>
                  <w:tcW w:w="3119" w:type="dxa"/>
                  <w:gridSpan w:val="2"/>
                  <w:vAlign w:val="center"/>
                </w:tcPr>
                <w:p w14:paraId="47D1E820">
                  <w:pPr>
                    <w:pStyle w:val="86"/>
                  </w:pPr>
                  <w:r>
                    <w:t>TP</w:t>
                  </w:r>
                </w:p>
              </w:tc>
              <w:tc>
                <w:tcPr>
                  <w:tcW w:w="1761" w:type="dxa"/>
                  <w:vAlign w:val="center"/>
                </w:tcPr>
                <w:p w14:paraId="5AC2E2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 xml:space="preserve"> mg</w:t>
                  </w:r>
                  <w:r>
                    <w:rPr>
                      <w:color w:val="000000" w:themeColor="text1"/>
                      <w:szCs w:val="21"/>
                      <w14:textFill>
                        <w14:solidFill>
                          <w14:schemeClr w14:val="tx1"/>
                        </w14:solidFill>
                      </w14:textFill>
                    </w:rPr>
                    <w:t>/L</w:t>
                  </w:r>
                </w:p>
              </w:tc>
            </w:tr>
            <w:tr w14:paraId="441DDC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67A5B3F1">
                  <w:pPr>
                    <w:jc w:val="center"/>
                    <w:rPr>
                      <w:color w:val="000000" w:themeColor="text1"/>
                      <w:szCs w:val="21"/>
                      <w14:textFill>
                        <w14:solidFill>
                          <w14:schemeClr w14:val="tx1"/>
                        </w14:solidFill>
                      </w14:textFill>
                    </w:rPr>
                  </w:pPr>
                </w:p>
              </w:tc>
              <w:tc>
                <w:tcPr>
                  <w:tcW w:w="2851" w:type="dxa"/>
                  <w:vMerge w:val="continue"/>
                  <w:vAlign w:val="center"/>
                </w:tcPr>
                <w:p w14:paraId="5AF509EE">
                  <w:pPr>
                    <w:jc w:val="center"/>
                    <w:rPr>
                      <w:color w:val="000000" w:themeColor="text1"/>
                      <w:szCs w:val="21"/>
                      <w14:textFill>
                        <w14:solidFill>
                          <w14:schemeClr w14:val="tx1"/>
                        </w14:solidFill>
                      </w14:textFill>
                    </w:rPr>
                  </w:pPr>
                </w:p>
              </w:tc>
              <w:tc>
                <w:tcPr>
                  <w:tcW w:w="3119" w:type="dxa"/>
                  <w:gridSpan w:val="2"/>
                  <w:vAlign w:val="center"/>
                </w:tcPr>
                <w:p w14:paraId="058ACB8D">
                  <w:pPr>
                    <w:pStyle w:val="86"/>
                  </w:pPr>
                  <w:r>
                    <w:t>TN</w:t>
                  </w:r>
                </w:p>
              </w:tc>
              <w:tc>
                <w:tcPr>
                  <w:tcW w:w="1761" w:type="dxa"/>
                  <w:vAlign w:val="center"/>
                </w:tcPr>
                <w:p w14:paraId="38AF9CC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 xml:space="preserve"> mg</w:t>
                  </w:r>
                  <w:r>
                    <w:rPr>
                      <w:color w:val="000000" w:themeColor="text1"/>
                      <w:szCs w:val="21"/>
                      <w14:textFill>
                        <w14:solidFill>
                          <w14:schemeClr w14:val="tx1"/>
                        </w14:solidFill>
                      </w14:textFill>
                    </w:rPr>
                    <w:t>/L</w:t>
                  </w:r>
                </w:p>
              </w:tc>
            </w:tr>
            <w:tr w14:paraId="69C7B7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488FB830">
                  <w:pPr>
                    <w:jc w:val="center"/>
                    <w:rPr>
                      <w:color w:val="000000" w:themeColor="text1"/>
                      <w:szCs w:val="21"/>
                      <w14:textFill>
                        <w14:solidFill>
                          <w14:schemeClr w14:val="tx1"/>
                        </w14:solidFill>
                      </w14:textFill>
                    </w:rPr>
                  </w:pPr>
                </w:p>
              </w:tc>
              <w:tc>
                <w:tcPr>
                  <w:tcW w:w="2851" w:type="dxa"/>
                  <w:vAlign w:val="center"/>
                </w:tcPr>
                <w:p w14:paraId="4C99DE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《城市污水再生利用 工业用水水质》（GB/T 19923-2005）</w:t>
                  </w:r>
                </w:p>
              </w:tc>
              <w:tc>
                <w:tcPr>
                  <w:tcW w:w="3119" w:type="dxa"/>
                  <w:gridSpan w:val="2"/>
                  <w:vAlign w:val="center"/>
                </w:tcPr>
                <w:p w14:paraId="45FEB47C">
                  <w:pPr>
                    <w:pStyle w:val="86"/>
                  </w:pPr>
                  <w:r>
                    <w:rPr>
                      <w:rFonts w:hint="eastAsia"/>
                    </w:rPr>
                    <w:t>S</w:t>
                  </w:r>
                  <w:r>
                    <w:t>S</w:t>
                  </w:r>
                </w:p>
              </w:tc>
              <w:tc>
                <w:tcPr>
                  <w:tcW w:w="1761" w:type="dxa"/>
                  <w:vAlign w:val="center"/>
                </w:tcPr>
                <w:p w14:paraId="575EC5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30 </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r>
            <w:tr w14:paraId="28C5F4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restart"/>
                  <w:vAlign w:val="center"/>
                </w:tcPr>
                <w:p w14:paraId="2DD443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851" w:type="dxa"/>
                  <w:vMerge w:val="restart"/>
                  <w:vAlign w:val="center"/>
                </w:tcPr>
                <w:p w14:paraId="43394D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《工业企业厂界环境噪声排放标准》（GB12348-2008）3类</w:t>
                  </w:r>
                </w:p>
              </w:tc>
              <w:tc>
                <w:tcPr>
                  <w:tcW w:w="3119" w:type="dxa"/>
                  <w:gridSpan w:val="2"/>
                  <w:vMerge w:val="restart"/>
                  <w:vAlign w:val="center"/>
                </w:tcPr>
                <w:p w14:paraId="0860609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761" w:type="dxa"/>
                  <w:vAlign w:val="center"/>
                </w:tcPr>
                <w:p w14:paraId="7466D9F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昼间65dB(A)</w:t>
                  </w:r>
                </w:p>
              </w:tc>
            </w:tr>
            <w:tr w14:paraId="0B54A1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Merge w:val="continue"/>
                  <w:vAlign w:val="center"/>
                </w:tcPr>
                <w:p w14:paraId="4D45F0F1">
                  <w:pPr>
                    <w:widowControl/>
                    <w:jc w:val="left"/>
                    <w:rPr>
                      <w:color w:val="000000" w:themeColor="text1"/>
                      <w:szCs w:val="21"/>
                      <w14:textFill>
                        <w14:solidFill>
                          <w14:schemeClr w14:val="tx1"/>
                        </w14:solidFill>
                      </w14:textFill>
                    </w:rPr>
                  </w:pPr>
                </w:p>
              </w:tc>
              <w:tc>
                <w:tcPr>
                  <w:tcW w:w="2851" w:type="dxa"/>
                  <w:vMerge w:val="continue"/>
                  <w:vAlign w:val="center"/>
                </w:tcPr>
                <w:p w14:paraId="0F393973">
                  <w:pPr>
                    <w:widowControl/>
                    <w:jc w:val="center"/>
                    <w:rPr>
                      <w:color w:val="000000" w:themeColor="text1"/>
                      <w:szCs w:val="21"/>
                      <w14:textFill>
                        <w14:solidFill>
                          <w14:schemeClr w14:val="tx1"/>
                        </w14:solidFill>
                      </w14:textFill>
                    </w:rPr>
                  </w:pPr>
                </w:p>
              </w:tc>
              <w:tc>
                <w:tcPr>
                  <w:tcW w:w="3119" w:type="dxa"/>
                  <w:gridSpan w:val="2"/>
                  <w:vMerge w:val="continue"/>
                  <w:vAlign w:val="center"/>
                </w:tcPr>
                <w:p w14:paraId="215DB9D6">
                  <w:pPr>
                    <w:widowControl/>
                    <w:jc w:val="left"/>
                    <w:rPr>
                      <w:color w:val="000000" w:themeColor="text1"/>
                      <w:szCs w:val="21"/>
                      <w14:textFill>
                        <w14:solidFill>
                          <w14:schemeClr w14:val="tx1"/>
                        </w14:solidFill>
                      </w14:textFill>
                    </w:rPr>
                  </w:pPr>
                </w:p>
              </w:tc>
              <w:tc>
                <w:tcPr>
                  <w:tcW w:w="1761" w:type="dxa"/>
                  <w:vAlign w:val="center"/>
                </w:tcPr>
                <w:p w14:paraId="23AEFE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夜间55dB(A)</w:t>
                  </w:r>
                </w:p>
              </w:tc>
            </w:tr>
            <w:tr w14:paraId="1DE606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vAlign w:val="center"/>
                </w:tcPr>
                <w:p w14:paraId="48C17344">
                  <w:pPr>
                    <w:jc w:val="center"/>
                    <w:rPr>
                      <w:szCs w:val="21"/>
                    </w:rPr>
                  </w:pPr>
                  <w:r>
                    <w:rPr>
                      <w:szCs w:val="21"/>
                    </w:rPr>
                    <w:t>固废</w:t>
                  </w:r>
                </w:p>
              </w:tc>
              <w:tc>
                <w:tcPr>
                  <w:tcW w:w="7731" w:type="dxa"/>
                  <w:gridSpan w:val="4"/>
                  <w:vAlign w:val="center"/>
                </w:tcPr>
                <w:p w14:paraId="406FD909">
                  <w:pPr>
                    <w:jc w:val="center"/>
                    <w:rPr>
                      <w:szCs w:val="21"/>
                    </w:rPr>
                  </w:pPr>
                  <w:r>
                    <w:rPr>
                      <w:szCs w:val="21"/>
                    </w:rPr>
                    <w:t>《一般工业固体废物贮存和填埋污染控制标准》（GB18599－2020）</w:t>
                  </w:r>
                  <w:r>
                    <w:rPr>
                      <w:rFonts w:hint="eastAsia"/>
                      <w:szCs w:val="21"/>
                    </w:rPr>
                    <w:t>、</w:t>
                  </w:r>
                  <w:r>
                    <w:rPr>
                      <w:szCs w:val="21"/>
                    </w:rPr>
                    <w:t>《危险废物贮存污染控制标准》（GB18597-20</w:t>
                  </w:r>
                  <w:r>
                    <w:rPr>
                      <w:rFonts w:hint="eastAsia"/>
                      <w:szCs w:val="21"/>
                    </w:rPr>
                    <w:t>23</w:t>
                  </w:r>
                  <w:r>
                    <w:rPr>
                      <w:szCs w:val="21"/>
                    </w:rPr>
                    <w:t>）</w:t>
                  </w:r>
                </w:p>
              </w:tc>
            </w:tr>
          </w:tbl>
          <w:p w14:paraId="6E89966D">
            <w:pPr>
              <w:pStyle w:val="28"/>
              <w:ind w:firstLine="480"/>
            </w:pPr>
          </w:p>
          <w:p w14:paraId="21B68DD2">
            <w:pPr>
              <w:pStyle w:val="28"/>
              <w:ind w:firstLine="480"/>
            </w:pPr>
          </w:p>
          <w:p w14:paraId="770837EE">
            <w:pPr>
              <w:pStyle w:val="28"/>
              <w:ind w:firstLine="480"/>
            </w:pPr>
          </w:p>
          <w:p w14:paraId="446EB8E2">
            <w:pPr>
              <w:pStyle w:val="28"/>
              <w:ind w:firstLine="480"/>
            </w:pPr>
          </w:p>
          <w:p w14:paraId="2C08777D">
            <w:pPr>
              <w:pStyle w:val="28"/>
              <w:ind w:firstLine="480"/>
            </w:pPr>
          </w:p>
          <w:p w14:paraId="41985423">
            <w:pPr>
              <w:pStyle w:val="28"/>
              <w:ind w:firstLine="480"/>
            </w:pPr>
          </w:p>
          <w:p w14:paraId="1BB0CCCD">
            <w:pPr>
              <w:pStyle w:val="28"/>
              <w:ind w:firstLine="480"/>
            </w:pPr>
          </w:p>
          <w:p w14:paraId="67DA3DB1">
            <w:pPr>
              <w:pStyle w:val="28"/>
              <w:ind w:firstLine="480"/>
            </w:pPr>
          </w:p>
          <w:p w14:paraId="0127AC08">
            <w:pPr>
              <w:pStyle w:val="28"/>
              <w:ind w:firstLine="480"/>
            </w:pPr>
          </w:p>
          <w:p w14:paraId="0770A421">
            <w:pPr>
              <w:pStyle w:val="28"/>
              <w:ind w:firstLine="480"/>
            </w:pPr>
          </w:p>
          <w:p w14:paraId="6BE09805">
            <w:pPr>
              <w:pStyle w:val="28"/>
              <w:ind w:firstLine="480"/>
            </w:pPr>
          </w:p>
          <w:p w14:paraId="63C2B915">
            <w:pPr>
              <w:pStyle w:val="28"/>
              <w:ind w:firstLine="480"/>
            </w:pPr>
          </w:p>
          <w:p w14:paraId="6D99CD41">
            <w:pPr>
              <w:pStyle w:val="28"/>
              <w:ind w:firstLine="480"/>
            </w:pPr>
          </w:p>
          <w:p w14:paraId="5DA0B83A">
            <w:pPr>
              <w:pStyle w:val="28"/>
              <w:ind w:firstLine="480"/>
            </w:pPr>
          </w:p>
          <w:p w14:paraId="1C0DC233">
            <w:pPr>
              <w:pStyle w:val="28"/>
              <w:ind w:firstLine="480"/>
            </w:pPr>
          </w:p>
          <w:p w14:paraId="367E9844">
            <w:pPr>
              <w:pStyle w:val="28"/>
              <w:ind w:firstLine="480"/>
            </w:pPr>
          </w:p>
          <w:p w14:paraId="142F0655">
            <w:pPr>
              <w:pStyle w:val="28"/>
              <w:ind w:firstLine="480"/>
            </w:pPr>
          </w:p>
        </w:tc>
      </w:tr>
      <w:tr w14:paraId="1862C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23" w:hRule="atLeast"/>
          <w:jc w:val="center"/>
        </w:trPr>
        <w:tc>
          <w:tcPr>
            <w:tcW w:w="699" w:type="dxa"/>
            <w:tcMar>
              <w:left w:w="28" w:type="dxa"/>
              <w:right w:w="28" w:type="dxa"/>
            </w:tcMar>
            <w:vAlign w:val="center"/>
          </w:tcPr>
          <w:p w14:paraId="461DDD0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总量控制指标</w:t>
            </w:r>
          </w:p>
        </w:tc>
        <w:tc>
          <w:tcPr>
            <w:tcW w:w="8815" w:type="dxa"/>
            <w:vAlign w:val="center"/>
          </w:tcPr>
          <w:p w14:paraId="02B5B835">
            <w:pPr>
              <w:pStyle w:val="28"/>
              <w:ind w:firstLine="480"/>
            </w:pPr>
            <w: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14:paraId="2EB95E48">
            <w:pPr>
              <w:pStyle w:val="28"/>
              <w:ind w:firstLine="480"/>
              <w:rPr>
                <w:rFonts w:hint="eastAsia"/>
              </w:rPr>
            </w:pPr>
            <w:r>
              <w:rPr>
                <w:rFonts w:cs="宋体"/>
              </w:rPr>
              <w:t>本项目属于</w:t>
            </w:r>
            <w:r>
              <w:rPr>
                <w:rFonts w:hint="eastAsia" w:cs="宋体"/>
              </w:rPr>
              <w:t>扩建</w:t>
            </w:r>
            <w:r>
              <w:rPr>
                <w:rFonts w:cs="宋体"/>
              </w:rPr>
              <w:t>项目，本项目</w:t>
            </w:r>
            <w:r>
              <w:rPr>
                <w:rFonts w:hint="eastAsia" w:cs="宋体"/>
              </w:rPr>
              <w:t>废气</w:t>
            </w:r>
            <w:r>
              <w:rPr>
                <w:rFonts w:cs="宋体"/>
              </w:rPr>
              <w:t>污染物</w:t>
            </w:r>
            <w:r>
              <w:rPr>
                <w:rFonts w:hint="eastAsia" w:cs="宋体"/>
              </w:rPr>
              <w:t>新增</w:t>
            </w:r>
            <w:r>
              <w:rPr>
                <w:rFonts w:cs="宋体"/>
              </w:rPr>
              <w:t>排放量为</w:t>
            </w:r>
            <w:r>
              <w:rPr>
                <w:rFonts w:hint="eastAsia" w:cs="宋体"/>
              </w:rPr>
              <w:t>非甲烷总烃0.1352t/a（有组织</w:t>
            </w:r>
            <w:r>
              <w:rPr>
                <w:rFonts w:cs="宋体"/>
              </w:rPr>
              <w:t>0.0645</w:t>
            </w:r>
            <w:r>
              <w:rPr>
                <w:rFonts w:hint="eastAsia" w:cs="宋体"/>
              </w:rPr>
              <w:t>t/a、无组织</w:t>
            </w:r>
            <w:r>
              <w:rPr>
                <w:rFonts w:cs="宋体"/>
              </w:rPr>
              <w:t>0.0707</w:t>
            </w:r>
            <w:r>
              <w:rPr>
                <w:rFonts w:hint="eastAsia" w:cs="宋体"/>
              </w:rPr>
              <w:t>t/a），需要进行双倍替代，替代量为</w:t>
            </w:r>
            <w:r>
              <w:rPr>
                <w:rFonts w:cs="宋体"/>
              </w:rPr>
              <w:t>0.2704</w:t>
            </w:r>
            <w:r>
              <w:rPr>
                <w:rFonts w:hint="eastAsia" w:cs="宋体"/>
              </w:rPr>
              <w:t xml:space="preserve"> t/a，</w:t>
            </w:r>
            <w:r>
              <w:rPr>
                <w:rFonts w:hint="eastAsia"/>
              </w:rPr>
              <w:t>从河南永丰化工有限公司提标治理产生的减排剩余量(VOCs 61.7492t)中扣除；</w:t>
            </w:r>
            <w:r>
              <w:rPr>
                <w:rFonts w:hint="eastAsia" w:cs="宋体"/>
              </w:rPr>
              <w:t>废水</w:t>
            </w:r>
            <w:r>
              <w:rPr>
                <w:rFonts w:cs="宋体"/>
              </w:rPr>
              <w:t>污染物</w:t>
            </w:r>
            <w:r>
              <w:rPr>
                <w:rFonts w:hint="eastAsia" w:cs="宋体"/>
              </w:rPr>
              <w:t>新增</w:t>
            </w:r>
            <w:r>
              <w:rPr>
                <w:rFonts w:cs="宋体"/>
              </w:rPr>
              <w:t>排放量为</w:t>
            </w:r>
            <w:r>
              <w:rPr>
                <w:rFonts w:hint="eastAsia" w:cs="宋体"/>
              </w:rPr>
              <w:t>：C</w:t>
            </w:r>
            <w:r>
              <w:rPr>
                <w:rFonts w:cs="宋体"/>
              </w:rPr>
              <w:t>OD 0.0122</w:t>
            </w:r>
            <w:r>
              <w:rPr>
                <w:rFonts w:hint="eastAsia" w:cs="宋体"/>
              </w:rPr>
              <w:t>t/a、</w:t>
            </w:r>
            <w:r>
              <w:rPr>
                <w:rFonts w:cs="宋体"/>
              </w:rPr>
              <w:t>NH</w:t>
            </w:r>
            <w:r>
              <w:rPr>
                <w:rFonts w:cs="宋体"/>
                <w:vertAlign w:val="subscript"/>
              </w:rPr>
              <w:t>3</w:t>
            </w:r>
            <w:r>
              <w:rPr>
                <w:rFonts w:cs="宋体"/>
              </w:rPr>
              <w:t>-N 0.0006</w:t>
            </w:r>
            <w:r>
              <w:rPr>
                <w:rFonts w:hint="eastAsia" w:cs="宋体"/>
              </w:rPr>
              <w:t>t/a，需要进行单倍替代，替代量为：</w:t>
            </w:r>
            <w:r>
              <w:rPr>
                <w:rFonts w:hint="eastAsia"/>
              </w:rPr>
              <w:t>COD 0.0122t/a、氨氮0.0006t/a从获嘉县第二生活垃圾处置场渗滤液处置项目产生的减排剩余量(COD99.566286t、氨氮6.237648t)中扣除。</w:t>
            </w:r>
          </w:p>
        </w:tc>
      </w:tr>
    </w:tbl>
    <w:p w14:paraId="20E92D71">
      <w:pPr>
        <w:pStyle w:val="15"/>
        <w:ind w:firstLine="72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r>
        <w:rPr>
          <w:rFonts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21"/>
        <w:tblW w:w="95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775"/>
      </w:tblGrid>
      <w:tr w14:paraId="68FFF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2C80FF33">
            <w:pPr>
              <w:pStyle w:val="15"/>
              <w:jc w:val="center"/>
              <w:outlineLvl w:val="0"/>
              <w:rPr>
                <w:rFonts w:ascii="Times New Roman" w:hAnsi="Times New Roman" w:eastAsia="黑体"/>
                <w:snapToGrid w:val="0"/>
                <w:color w:val="000000" w:themeColor="text1"/>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施工期环境保护措施</w:t>
            </w:r>
          </w:p>
        </w:tc>
        <w:tc>
          <w:tcPr>
            <w:tcW w:w="8775" w:type="dxa"/>
            <w:tcBorders>
              <w:tl2br w:val="nil"/>
              <w:tr2bl w:val="nil"/>
            </w:tcBorders>
          </w:tcPr>
          <w:p w14:paraId="6BCB1560">
            <w:pPr>
              <w:pStyle w:val="28"/>
              <w:ind w:firstLine="480"/>
            </w:pPr>
            <w:r>
              <w:rPr>
                <w:rFonts w:hint="eastAsia"/>
              </w:rPr>
              <w:t>本项目租赁现有厂房进行生产，不存在构筑物的建设，施工期主要工作为设备的安装，设备安装主要是人工组装，项目施工时间短暂，随着施工期的结束，施工影响也随之消失。</w:t>
            </w:r>
          </w:p>
        </w:tc>
      </w:tr>
      <w:tr w14:paraId="1C3AE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3F13F753">
            <w:pPr>
              <w:pStyle w:val="15"/>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运营期环境影响和保护措施</w:t>
            </w:r>
          </w:p>
        </w:tc>
        <w:tc>
          <w:tcPr>
            <w:tcW w:w="8775" w:type="dxa"/>
            <w:tcBorders>
              <w:tl2br w:val="nil"/>
              <w:tr2bl w:val="nil"/>
            </w:tcBorders>
          </w:tcPr>
          <w:p w14:paraId="7C03F1BB">
            <w:pPr>
              <w:spacing w:line="460" w:lineRule="exact"/>
              <w:ind w:firstLine="482" w:firstLineChars="200"/>
              <w:jc w:val="left"/>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营运期环境影响分析：</w:t>
            </w:r>
          </w:p>
          <w:p w14:paraId="3E5D972F">
            <w:pPr>
              <w:pStyle w:val="28"/>
              <w:ind w:firstLine="480"/>
              <w:rPr>
                <w:lang w:val="zh-CN"/>
              </w:rPr>
            </w:pPr>
            <w:r>
              <w:rPr>
                <w:lang w:val="zh-CN"/>
              </w:rPr>
              <w:t>营运期污染因素主要有废气、</w:t>
            </w:r>
            <w:r>
              <w:rPr>
                <w:rFonts w:hint="eastAsia"/>
                <w:lang w:val="zh-CN"/>
              </w:rPr>
              <w:t>废水、</w:t>
            </w:r>
            <w:r>
              <w:rPr>
                <w:lang w:val="zh-CN"/>
              </w:rPr>
              <w:t>噪声、固废，具体内容详见以下分析。</w:t>
            </w:r>
          </w:p>
          <w:p w14:paraId="277DB07B">
            <w:pPr>
              <w:spacing w:line="460" w:lineRule="exact"/>
              <w:ind w:firstLine="482"/>
              <w:jc w:val="left"/>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一、废气</w:t>
            </w:r>
          </w:p>
          <w:p w14:paraId="1BE82053">
            <w:pPr>
              <w:spacing w:line="460" w:lineRule="exact"/>
              <w:ind w:firstLine="482"/>
              <w:jc w:val="left"/>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1、有组织废气</w:t>
            </w:r>
          </w:p>
          <w:p w14:paraId="332CC820">
            <w:pPr>
              <w:pStyle w:val="28"/>
              <w:ind w:firstLine="480"/>
            </w:pPr>
            <w:r>
              <w:rPr>
                <w:rFonts w:hint="eastAsia"/>
                <w:lang w:val="zh-CN"/>
              </w:rPr>
              <w:t>本项目有组织废气主要是熔融挤出工序产生的有机废气</w:t>
            </w:r>
            <w:r>
              <w:rPr>
                <w:rFonts w:hint="eastAsia"/>
              </w:rPr>
              <w:t>。</w:t>
            </w:r>
          </w:p>
          <w:p w14:paraId="00AF7228">
            <w:pPr>
              <w:pStyle w:val="28"/>
              <w:ind w:firstLine="480"/>
            </w:pPr>
            <w:r>
              <w:rPr>
                <w:rFonts w:hint="eastAsia"/>
              </w:rPr>
              <w:t>本项目所用原料为废塑料皮，主要成分为聚丙烯、聚乙烯、增塑剂和润滑剂。废塑料皮中的增塑剂和润滑剂在加热状态下会产生油雾（以非甲烷总烃计）；根据聚丙烯、聚乙烯的理化性质可知，聚乙烯分解温度在320℃以上，聚丙烯的热分解温度为310℃，本项目挤出机加热温度为180~220℃，达不到其分解温度，造粒过程不会产生塑料粒子焦碳链焦化气体，故本项目</w:t>
            </w:r>
            <w:r>
              <w:rPr>
                <w:rFonts w:hint="eastAsia"/>
                <w:lang w:val="zh-CN"/>
              </w:rPr>
              <w:t>熔融挤出工序</w:t>
            </w:r>
            <w:r>
              <w:rPr>
                <w:rFonts w:hint="eastAsia"/>
              </w:rPr>
              <w:t>产生的有机废气主要为非甲烷总烃。</w:t>
            </w:r>
          </w:p>
          <w:p w14:paraId="7E34EF57">
            <w:pPr>
              <w:pStyle w:val="28"/>
              <w:ind w:firstLine="480"/>
            </w:pPr>
            <w:r>
              <w:rPr>
                <w:rFonts w:hint="eastAsia"/>
              </w:rPr>
              <w:t>根据前文工程分析可知，现有工程熔融挤出工序工作时间为6000h/a，检测时生产负荷为86%，熔融挤出工序非甲烷总烃最大产生速率为0.</w:t>
            </w:r>
            <w:r>
              <w:t>1850</w:t>
            </w:r>
            <w:r>
              <w:rPr>
                <w:rFonts w:hint="eastAsia"/>
              </w:rPr>
              <w:t>kg/h，集气罩收集效率以9</w:t>
            </w:r>
            <w:r>
              <w:t>0%</w:t>
            </w:r>
            <w:r>
              <w:rPr>
                <w:rFonts w:hint="eastAsia"/>
              </w:rPr>
              <w:t>计，则现有工程满负荷生产时熔融挤出工序非甲烷总烃产生量为</w:t>
            </w:r>
            <w:r>
              <w:t>1.4341</w:t>
            </w:r>
            <w:r>
              <w:rPr>
                <w:rFonts w:hint="eastAsia"/>
              </w:rPr>
              <w:t>t/a，现有工程满负荷工况下原料（废塑料皮）用量为1</w:t>
            </w:r>
            <w:r>
              <w:t>0000</w:t>
            </w:r>
            <w:r>
              <w:rPr>
                <w:rFonts w:hint="eastAsia"/>
              </w:rPr>
              <w:t>t/a，即现有工程熔融挤出工序非甲烷总烃产污系数为</w:t>
            </w:r>
            <w:r>
              <w:t>143.41</w:t>
            </w:r>
            <w:r>
              <w:rPr>
                <w:rFonts w:hint="eastAsia"/>
              </w:rPr>
              <w:t>g/t-原料。</w:t>
            </w:r>
          </w:p>
          <w:p w14:paraId="157DA026">
            <w:pPr>
              <w:pStyle w:val="28"/>
              <w:ind w:firstLine="480"/>
            </w:pPr>
            <w:r>
              <w:rPr>
                <w:rFonts w:hint="eastAsia"/>
              </w:rPr>
              <w:t>根据《排放源统计调查产排污核算方法和系数手册》中4220非金属废料和碎屑加工处理行业系数表可知，“产品名称—再生塑料粒子”“原料名称—废P</w:t>
            </w:r>
            <w:r>
              <w:t>P/PE</w:t>
            </w:r>
            <w:r>
              <w:rPr>
                <w:rFonts w:hint="eastAsia"/>
              </w:rPr>
              <w:t>”“工艺名称—挤出造粒”的挥发性有机物产污系数为</w:t>
            </w:r>
            <w:r>
              <w:t>350</w:t>
            </w:r>
            <w:r>
              <w:rPr>
                <w:rFonts w:hint="eastAsia"/>
              </w:rPr>
              <w:t>g/t-原料。</w:t>
            </w:r>
          </w:p>
          <w:p w14:paraId="61AA33A1">
            <w:pPr>
              <w:pStyle w:val="28"/>
              <w:ind w:firstLine="480"/>
            </w:pPr>
            <w:r>
              <w:rPr>
                <w:rFonts w:hint="eastAsia"/>
              </w:rPr>
              <w:t>按照环评最不利原则，本次熔融挤出工序非甲烷总烃的产污系数取</w:t>
            </w:r>
            <w:r>
              <w:t>350</w:t>
            </w:r>
            <w:r>
              <w:rPr>
                <w:rFonts w:hint="eastAsia"/>
              </w:rPr>
              <w:t>g/t -原料，本项目原料使用量为2</w:t>
            </w:r>
            <w:r>
              <w:t>020</w:t>
            </w:r>
            <w:r>
              <w:rPr>
                <w:rFonts w:hint="eastAsia"/>
              </w:rPr>
              <w:t>t/a，则本项目熔融挤出工序非甲烷总烃产生量为0</w:t>
            </w:r>
            <w:r>
              <w:t>.707</w:t>
            </w:r>
            <w:r>
              <w:rPr>
                <w:rFonts w:hint="eastAsia"/>
              </w:rPr>
              <w:t>0t/a。</w:t>
            </w:r>
          </w:p>
          <w:p w14:paraId="4C03C87B">
            <w:pPr>
              <w:pStyle w:val="28"/>
              <w:ind w:firstLine="480"/>
              <w:rPr>
                <w:color w:val="FF0000"/>
              </w:rPr>
            </w:pPr>
            <w:r>
              <w:rPr>
                <w:rFonts w:hint="eastAsia"/>
              </w:rPr>
              <w:t>本项目共设</w:t>
            </w:r>
            <w:r>
              <w:t>2</w:t>
            </w:r>
            <w:r>
              <w:rPr>
                <w:rFonts w:hint="eastAsia"/>
              </w:rPr>
              <w:t>台造粒主机，4台造粒副机，评价建议在各造粒机出口处设置集气罩（共6个，集气罩收集效率以9</w:t>
            </w:r>
            <w:r>
              <w:t>0%</w:t>
            </w:r>
            <w:r>
              <w:rPr>
                <w:rFonts w:hint="eastAsia"/>
              </w:rPr>
              <w:t>计），废气经收集后进入“工业高压静电油烟净化装置+活性炭吸附/脱附-催化燃烧装置”（TA00</w:t>
            </w:r>
            <w:r>
              <w:t>2</w:t>
            </w:r>
            <w:r>
              <w:rPr>
                <w:rFonts w:hint="eastAsia"/>
              </w:rPr>
              <w:t>）处理后通过一根15m排气筒（DA00</w:t>
            </w:r>
            <w:r>
              <w:t>2</w:t>
            </w:r>
            <w:r>
              <w:rPr>
                <w:rFonts w:hint="eastAsia"/>
              </w:rPr>
              <w:t>）排放。</w:t>
            </w:r>
          </w:p>
          <w:p w14:paraId="6616EFE6">
            <w:pPr>
              <w:pStyle w:val="28"/>
              <w:ind w:firstLine="480"/>
            </w:pPr>
            <w:r>
              <w:rPr>
                <w:rFonts w:hint="eastAsia"/>
              </w:rPr>
              <w:t>根据《大气污染控制工程》（第三版）中集气罩风量计算公式：</w:t>
            </w:r>
          </w:p>
          <w:p w14:paraId="18FE2DD6">
            <w:pPr>
              <w:pStyle w:val="28"/>
              <w:ind w:firstLine="480"/>
              <w:jc w:val="center"/>
            </w:pPr>
            <w:r>
              <w:rPr>
                <w:rFonts w:hint="eastAsia"/>
              </w:rPr>
              <w:t>Q=0.75</w:t>
            </w:r>
            <w:r>
              <w:t>×</w:t>
            </w:r>
            <w:r>
              <w:rPr>
                <w:rFonts w:hint="eastAsia"/>
              </w:rPr>
              <w:t>（10X</w:t>
            </w:r>
            <w:r>
              <w:rPr>
                <w:rFonts w:hint="eastAsia"/>
                <w:vertAlign w:val="superscript"/>
              </w:rPr>
              <w:t>2</w:t>
            </w:r>
            <w:r>
              <w:rPr>
                <w:rFonts w:hint="eastAsia"/>
              </w:rPr>
              <w:t>+A）</w:t>
            </w:r>
            <w:r>
              <w:t>×</w:t>
            </w:r>
            <w:r>
              <w:rPr>
                <w:rFonts w:hint="eastAsia"/>
              </w:rPr>
              <w:t>Vx</w:t>
            </w:r>
          </w:p>
          <w:p w14:paraId="6A313811">
            <w:pPr>
              <w:pStyle w:val="28"/>
              <w:ind w:firstLine="480"/>
            </w:pPr>
            <w:r>
              <w:rPr>
                <w:rFonts w:hint="eastAsia"/>
              </w:rPr>
              <w:t>式中：Q—集气罩排风量，m</w:t>
            </w:r>
            <w:r>
              <w:rPr>
                <w:rFonts w:hint="eastAsia"/>
                <w:vertAlign w:val="superscript"/>
              </w:rPr>
              <w:t>3</w:t>
            </w:r>
            <w:r>
              <w:rPr>
                <w:rFonts w:hint="eastAsia"/>
              </w:rPr>
              <w:t>/s；</w:t>
            </w:r>
          </w:p>
          <w:p w14:paraId="7D40CF65">
            <w:pPr>
              <w:pStyle w:val="28"/>
              <w:ind w:firstLine="1200" w:firstLineChars="500"/>
            </w:pPr>
            <w:r>
              <w:rPr>
                <w:rFonts w:hint="eastAsia"/>
              </w:rPr>
              <w:t>X—污染物产生点至罩口的距离，m，本项目取0.5；</w:t>
            </w:r>
          </w:p>
          <w:p w14:paraId="3A61531F">
            <w:pPr>
              <w:pStyle w:val="28"/>
              <w:ind w:firstLine="1200" w:firstLineChars="500"/>
            </w:pPr>
            <w:r>
              <w:rPr>
                <w:rFonts w:hint="eastAsia"/>
              </w:rPr>
              <w:t>A—罩口面积，m</w:t>
            </w:r>
            <w:r>
              <w:rPr>
                <w:rFonts w:hint="eastAsia"/>
                <w:vertAlign w:val="superscript"/>
              </w:rPr>
              <w:t>2</w:t>
            </w:r>
            <w:r>
              <w:rPr>
                <w:rFonts w:hint="eastAsia"/>
              </w:rPr>
              <w:t>；</w:t>
            </w:r>
          </w:p>
          <w:p w14:paraId="34EFBD10">
            <w:pPr>
              <w:pStyle w:val="28"/>
              <w:ind w:firstLine="1200" w:firstLineChars="500"/>
            </w:pPr>
            <w:r>
              <w:rPr>
                <w:rFonts w:hint="eastAsia"/>
              </w:rPr>
              <w:t>Vx—最小控制风速，m/s，一般取0.25~0.5m/s，本项目取0.3m/s。</w:t>
            </w:r>
          </w:p>
          <w:p w14:paraId="3232ED71">
            <w:pPr>
              <w:pStyle w:val="28"/>
              <w:ind w:firstLine="480"/>
            </w:pPr>
            <w:r>
              <w:rPr>
                <w:rFonts w:hint="eastAsia"/>
              </w:rPr>
              <w:t>本项目共设</w:t>
            </w:r>
            <w:r>
              <w:t>6</w:t>
            </w:r>
            <w:r>
              <w:rPr>
                <w:rFonts w:hint="eastAsia"/>
              </w:rPr>
              <w:t>个长方形集气罩，单个集气罩尺寸为</w:t>
            </w:r>
            <w:r>
              <w:t>0.6m×0.8m</w:t>
            </w:r>
            <w:r>
              <w:rPr>
                <w:rFonts w:hint="eastAsia"/>
              </w:rPr>
              <w:t>，经计算可得，总风量为</w:t>
            </w:r>
            <w:r>
              <w:t>1.2105</w:t>
            </w:r>
            <w:r>
              <w:rPr>
                <w:rFonts w:hint="eastAsia"/>
              </w:rPr>
              <w:t>m</w:t>
            </w:r>
            <w:r>
              <w:rPr>
                <w:rFonts w:hint="eastAsia"/>
                <w:vertAlign w:val="superscript"/>
              </w:rPr>
              <w:t>3</w:t>
            </w:r>
            <w:r>
              <w:rPr>
                <w:rFonts w:hint="eastAsia"/>
              </w:rPr>
              <w:t>/s（</w:t>
            </w:r>
            <w:r>
              <w:t>4357.8</w:t>
            </w:r>
            <w:r>
              <w:rPr>
                <w:rFonts w:hint="eastAsia"/>
              </w:rPr>
              <w:t>m</w:t>
            </w:r>
            <w:r>
              <w:rPr>
                <w:rFonts w:hint="eastAsia"/>
                <w:vertAlign w:val="superscript"/>
              </w:rPr>
              <w:t>3</w:t>
            </w:r>
            <w:r>
              <w:rPr>
                <w:rFonts w:hint="eastAsia"/>
              </w:rPr>
              <w:t>/h）。为了更好的满足及保证处理风量的需求，本项目选用风量为</w:t>
            </w:r>
            <w:r>
              <w:t>5000</w:t>
            </w:r>
            <w:r>
              <w:rPr>
                <w:rFonts w:hint="eastAsia"/>
              </w:rPr>
              <w:t>m</w:t>
            </w:r>
            <w:r>
              <w:rPr>
                <w:rFonts w:hint="eastAsia"/>
                <w:vertAlign w:val="superscript"/>
              </w:rPr>
              <w:t>3</w:t>
            </w:r>
            <w:r>
              <w:rPr>
                <w:rFonts w:hint="eastAsia"/>
              </w:rPr>
              <w:t>/h的风机。</w:t>
            </w:r>
          </w:p>
          <w:p w14:paraId="0E472E26">
            <w:pPr>
              <w:pStyle w:val="28"/>
              <w:ind w:firstLine="480"/>
            </w:pPr>
            <w:r>
              <w:rPr>
                <w:rFonts w:hint="eastAsia"/>
              </w:rPr>
              <w:t>根据现有工程验收报告可知，现有工程熔融挤出工序产生的油雾占非甲烷总烃的比例为21.2%，则本项目熔融挤出工序的油雾产生量为0.1499t/a，集气罩收集量为0.1349t/a，工业高压静电油烟净化装置去除油雾的效率为95%</w:t>
            </w:r>
            <w:r>
              <w:rPr>
                <w:rStyle w:val="27"/>
                <w:rFonts w:hint="eastAsia"/>
              </w:rPr>
              <w:t>，即</w:t>
            </w:r>
            <w:r>
              <w:rPr>
                <w:rFonts w:hint="eastAsia"/>
              </w:rPr>
              <w:t>工业高压静电油烟净化装置去除的油雾量为0.1282t/a（以非甲烷总烃计），</w:t>
            </w:r>
            <w:r>
              <w:rPr>
                <w:rStyle w:val="27"/>
                <w:rFonts w:hint="eastAsia"/>
              </w:rPr>
              <w:t>熔融挤出工序工作时间为7</w:t>
            </w:r>
            <w:r>
              <w:rPr>
                <w:rStyle w:val="27"/>
              </w:rPr>
              <w:t>200</w:t>
            </w:r>
            <w:r>
              <w:rPr>
                <w:rStyle w:val="27"/>
                <w:rFonts w:hint="eastAsia"/>
              </w:rPr>
              <w:t>h/a，则本项目熔融挤出工序产生的非甲烷总烃经</w:t>
            </w:r>
            <w:r>
              <w:rPr>
                <w:rFonts w:hint="eastAsia"/>
              </w:rPr>
              <w:t>工业高压静电油烟净化装置处理的产排情况如下：</w:t>
            </w:r>
          </w:p>
          <w:p w14:paraId="41FBB0A4">
            <w:pPr>
              <w:pStyle w:val="67"/>
              <w:ind w:firstLine="480"/>
              <w:rPr>
                <w:color w:val="auto"/>
              </w:rPr>
            </w:pPr>
            <w:r>
              <w:rPr>
                <w:rFonts w:hint="eastAsia"/>
              </w:rPr>
              <w:t xml:space="preserve">   </w:t>
            </w:r>
            <w:r>
              <w:t>本项目</w:t>
            </w:r>
            <w:r>
              <w:rPr>
                <w:rFonts w:hint="eastAsia"/>
              </w:rPr>
              <w:t>工业高压静电油烟净化装置废气</w:t>
            </w:r>
            <w:r>
              <w:t>产排情况一览表</w:t>
            </w:r>
          </w:p>
          <w:tbl>
            <w:tblPr>
              <w:tblStyle w:val="20"/>
              <w:tblW w:w="8559"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892"/>
              <w:gridCol w:w="890"/>
              <w:gridCol w:w="892"/>
              <w:gridCol w:w="890"/>
              <w:gridCol w:w="892"/>
              <w:gridCol w:w="890"/>
              <w:gridCol w:w="743"/>
              <w:gridCol w:w="743"/>
              <w:gridCol w:w="743"/>
              <w:gridCol w:w="984"/>
            </w:tblGrid>
            <w:tr w14:paraId="0E60565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92" w:type="dxa"/>
                  <w:vMerge w:val="restart"/>
                  <w:tcBorders>
                    <w:top w:val="single" w:color="000000" w:sz="8" w:space="0"/>
                    <w:left w:val="nil"/>
                    <w:bottom w:val="single" w:color="000000" w:sz="4" w:space="0"/>
                    <w:right w:val="single" w:color="000000" w:sz="4" w:space="0"/>
                  </w:tcBorders>
                  <w:vAlign w:val="center"/>
                </w:tcPr>
                <w:p w14:paraId="6FB4498F">
                  <w:pPr>
                    <w:jc w:val="center"/>
                    <w:rPr>
                      <w:b/>
                      <w:color w:val="000000"/>
                      <w:szCs w:val="21"/>
                    </w:rPr>
                  </w:pPr>
                  <w:r>
                    <w:rPr>
                      <w:rFonts w:hint="eastAsia" w:ascii="宋体" w:hAnsi="宋体"/>
                      <w:b/>
                      <w:color w:val="000000"/>
                    </w:rPr>
                    <w:t>产污工序</w:t>
                  </w:r>
                </w:p>
              </w:tc>
              <w:tc>
                <w:tcPr>
                  <w:tcW w:w="890" w:type="dxa"/>
                  <w:vMerge w:val="restart"/>
                  <w:tcBorders>
                    <w:top w:val="single" w:color="000000" w:sz="8" w:space="0"/>
                    <w:left w:val="single" w:color="000000" w:sz="4" w:space="0"/>
                    <w:bottom w:val="single" w:color="000000" w:sz="4" w:space="0"/>
                    <w:right w:val="single" w:color="000000" w:sz="4" w:space="0"/>
                  </w:tcBorders>
                  <w:vAlign w:val="center"/>
                </w:tcPr>
                <w:p w14:paraId="7276E5D0">
                  <w:pPr>
                    <w:jc w:val="center"/>
                    <w:rPr>
                      <w:b/>
                      <w:color w:val="000000"/>
                    </w:rPr>
                  </w:pPr>
                  <w:r>
                    <w:rPr>
                      <w:rFonts w:ascii="宋体" w:hAnsi="宋体"/>
                      <w:b/>
                      <w:color w:val="000000"/>
                    </w:rPr>
                    <w:t>污染</w:t>
                  </w:r>
                  <w:r>
                    <w:rPr>
                      <w:rFonts w:hint="eastAsia" w:ascii="宋体" w:hAnsi="宋体"/>
                      <w:b/>
                      <w:color w:val="000000"/>
                    </w:rPr>
                    <w:t>因子</w:t>
                  </w:r>
                </w:p>
              </w:tc>
              <w:tc>
                <w:tcPr>
                  <w:tcW w:w="3564" w:type="dxa"/>
                  <w:gridSpan w:val="4"/>
                  <w:tcBorders>
                    <w:top w:val="single" w:color="000000" w:sz="8" w:space="0"/>
                    <w:left w:val="single" w:color="000000" w:sz="4" w:space="0"/>
                    <w:bottom w:val="single" w:color="000000" w:sz="4" w:space="0"/>
                    <w:right w:val="single" w:color="000000" w:sz="4" w:space="0"/>
                  </w:tcBorders>
                  <w:vAlign w:val="center"/>
                </w:tcPr>
                <w:p w14:paraId="565B47EF">
                  <w:pPr>
                    <w:jc w:val="center"/>
                    <w:rPr>
                      <w:b/>
                      <w:color w:val="000000"/>
                    </w:rPr>
                  </w:pPr>
                  <w:r>
                    <w:rPr>
                      <w:rFonts w:ascii="宋体" w:hAnsi="宋体"/>
                      <w:b/>
                      <w:color w:val="000000"/>
                    </w:rPr>
                    <w:t>产生情况</w:t>
                  </w:r>
                </w:p>
              </w:tc>
              <w:tc>
                <w:tcPr>
                  <w:tcW w:w="743" w:type="dxa"/>
                  <w:vMerge w:val="restart"/>
                  <w:tcBorders>
                    <w:top w:val="single" w:color="000000" w:sz="8" w:space="0"/>
                    <w:left w:val="single" w:color="000000" w:sz="4" w:space="0"/>
                    <w:bottom w:val="single" w:color="000000" w:sz="4" w:space="0"/>
                    <w:right w:val="single" w:color="000000" w:sz="4" w:space="0"/>
                  </w:tcBorders>
                  <w:vAlign w:val="center"/>
                </w:tcPr>
                <w:p w14:paraId="06E380E8">
                  <w:pPr>
                    <w:jc w:val="center"/>
                    <w:rPr>
                      <w:b/>
                      <w:color w:val="000000"/>
                    </w:rPr>
                  </w:pPr>
                  <w:r>
                    <w:rPr>
                      <w:rFonts w:ascii="宋体" w:hAnsi="宋体"/>
                      <w:b/>
                      <w:color w:val="000000"/>
                    </w:rPr>
                    <w:t>风机</w:t>
                  </w:r>
                </w:p>
                <w:p w14:paraId="60D4F907">
                  <w:pPr>
                    <w:jc w:val="center"/>
                    <w:rPr>
                      <w:b/>
                      <w:color w:val="000000"/>
                    </w:rPr>
                  </w:pPr>
                  <w:r>
                    <w:rPr>
                      <w:rFonts w:ascii="宋体" w:hAnsi="宋体"/>
                      <w:b/>
                      <w:color w:val="000000"/>
                    </w:rPr>
                    <w:t>风量</w:t>
                  </w:r>
                  <w:r>
                    <w:rPr>
                      <w:b/>
                      <w:color w:val="000000"/>
                    </w:rPr>
                    <w:t>(m</w:t>
                  </w:r>
                  <w:r>
                    <w:rPr>
                      <w:b/>
                      <w:color w:val="000000"/>
                      <w:vertAlign w:val="superscript"/>
                    </w:rPr>
                    <w:t>3</w:t>
                  </w:r>
                  <w:r>
                    <w:rPr>
                      <w:b/>
                      <w:color w:val="000000"/>
                    </w:rPr>
                    <w:t>/h)</w:t>
                  </w:r>
                </w:p>
              </w:tc>
              <w:tc>
                <w:tcPr>
                  <w:tcW w:w="2470" w:type="dxa"/>
                  <w:gridSpan w:val="3"/>
                  <w:tcBorders>
                    <w:top w:val="single" w:color="000000" w:sz="8" w:space="0"/>
                    <w:left w:val="single" w:color="000000" w:sz="4" w:space="0"/>
                    <w:bottom w:val="single" w:color="000000" w:sz="4" w:space="0"/>
                    <w:right w:val="nil"/>
                  </w:tcBorders>
                  <w:vAlign w:val="center"/>
                </w:tcPr>
                <w:p w14:paraId="65627CF3">
                  <w:pPr>
                    <w:jc w:val="center"/>
                    <w:rPr>
                      <w:b/>
                      <w:color w:val="000000"/>
                    </w:rPr>
                  </w:pPr>
                  <w:r>
                    <w:rPr>
                      <w:rFonts w:ascii="宋体" w:hAnsi="宋体"/>
                      <w:b/>
                      <w:color w:val="000000"/>
                    </w:rPr>
                    <w:t>排放情况</w:t>
                  </w:r>
                </w:p>
              </w:tc>
            </w:tr>
            <w:tr w14:paraId="5595B2C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92" w:type="dxa"/>
                  <w:vMerge w:val="continue"/>
                  <w:tcBorders>
                    <w:top w:val="single" w:color="000000" w:sz="8" w:space="0"/>
                    <w:left w:val="nil"/>
                    <w:bottom w:val="single" w:color="000000" w:sz="4" w:space="0"/>
                    <w:right w:val="single" w:color="000000" w:sz="4" w:space="0"/>
                  </w:tcBorders>
                  <w:vAlign w:val="center"/>
                </w:tcPr>
                <w:p w14:paraId="20DCF5D7">
                  <w:pPr>
                    <w:widowControl/>
                    <w:jc w:val="left"/>
                    <w:rPr>
                      <w:b/>
                      <w:color w:val="000000"/>
                      <w:szCs w:val="21"/>
                    </w:rPr>
                  </w:pPr>
                </w:p>
              </w:tc>
              <w:tc>
                <w:tcPr>
                  <w:tcW w:w="890" w:type="dxa"/>
                  <w:vMerge w:val="continue"/>
                  <w:tcBorders>
                    <w:top w:val="single" w:color="000000" w:sz="8" w:space="0"/>
                    <w:left w:val="single" w:color="000000" w:sz="4" w:space="0"/>
                    <w:bottom w:val="single" w:color="000000" w:sz="4" w:space="0"/>
                    <w:right w:val="single" w:color="000000" w:sz="4" w:space="0"/>
                  </w:tcBorders>
                  <w:vAlign w:val="center"/>
                </w:tcPr>
                <w:p w14:paraId="57CFEF5A">
                  <w:pPr>
                    <w:widowControl/>
                    <w:jc w:val="left"/>
                    <w:rPr>
                      <w:b/>
                      <w:color w:val="000000"/>
                      <w:szCs w:val="21"/>
                    </w:rPr>
                  </w:pPr>
                </w:p>
              </w:tc>
              <w:tc>
                <w:tcPr>
                  <w:tcW w:w="892" w:type="dxa"/>
                  <w:tcBorders>
                    <w:top w:val="single" w:color="000000" w:sz="4" w:space="0"/>
                    <w:left w:val="single" w:color="000000" w:sz="4" w:space="0"/>
                    <w:bottom w:val="single" w:color="000000" w:sz="4" w:space="0"/>
                    <w:right w:val="single" w:color="000000" w:sz="4" w:space="0"/>
                  </w:tcBorders>
                  <w:vAlign w:val="center"/>
                </w:tcPr>
                <w:p w14:paraId="5F1E3D04">
                  <w:pPr>
                    <w:jc w:val="center"/>
                    <w:rPr>
                      <w:b/>
                      <w:color w:val="000000"/>
                    </w:rPr>
                  </w:pPr>
                  <w:r>
                    <w:rPr>
                      <w:rFonts w:ascii="宋体" w:hAnsi="宋体"/>
                      <w:b/>
                      <w:color w:val="000000"/>
                    </w:rPr>
                    <w:t>产生量</w:t>
                  </w:r>
                  <w:r>
                    <w:rPr>
                      <w:b/>
                      <w:color w:val="000000"/>
                    </w:rPr>
                    <w:t>(t/a)</w:t>
                  </w:r>
                </w:p>
              </w:tc>
              <w:tc>
                <w:tcPr>
                  <w:tcW w:w="890" w:type="dxa"/>
                  <w:tcBorders>
                    <w:top w:val="single" w:color="000000" w:sz="4" w:space="0"/>
                    <w:left w:val="single" w:color="000000" w:sz="4" w:space="0"/>
                    <w:bottom w:val="single" w:color="000000" w:sz="4" w:space="0"/>
                    <w:right w:val="single" w:color="000000" w:sz="4" w:space="0"/>
                  </w:tcBorders>
                  <w:vAlign w:val="center"/>
                </w:tcPr>
                <w:p w14:paraId="26179CD2">
                  <w:pPr>
                    <w:jc w:val="center"/>
                    <w:rPr>
                      <w:b/>
                      <w:color w:val="000000"/>
                    </w:rPr>
                  </w:pPr>
                  <w:r>
                    <w:rPr>
                      <w:rFonts w:ascii="宋体" w:hAnsi="宋体"/>
                      <w:b/>
                      <w:color w:val="000000"/>
                    </w:rPr>
                    <w:t>收集量</w:t>
                  </w:r>
                  <w:r>
                    <w:rPr>
                      <w:b/>
                      <w:color w:val="000000"/>
                    </w:rPr>
                    <w:t>(t/a)</w:t>
                  </w:r>
                </w:p>
              </w:tc>
              <w:tc>
                <w:tcPr>
                  <w:tcW w:w="892" w:type="dxa"/>
                  <w:tcBorders>
                    <w:top w:val="single" w:color="000000" w:sz="4" w:space="0"/>
                    <w:left w:val="single" w:color="000000" w:sz="4" w:space="0"/>
                    <w:bottom w:val="single" w:color="000000" w:sz="4" w:space="0"/>
                    <w:right w:val="single" w:color="000000" w:sz="4" w:space="0"/>
                  </w:tcBorders>
                  <w:vAlign w:val="center"/>
                </w:tcPr>
                <w:p w14:paraId="72E7DA03">
                  <w:pPr>
                    <w:jc w:val="center"/>
                    <w:rPr>
                      <w:b/>
                      <w:color w:val="000000"/>
                    </w:rPr>
                  </w:pPr>
                  <w:r>
                    <w:rPr>
                      <w:rFonts w:ascii="宋体" w:hAnsi="宋体"/>
                      <w:b/>
                      <w:color w:val="000000"/>
                    </w:rPr>
                    <w:t>速率</w:t>
                  </w:r>
                  <w:r>
                    <w:rPr>
                      <w:b/>
                      <w:color w:val="000000"/>
                    </w:rPr>
                    <w:t>(kg/h)</w:t>
                  </w:r>
                </w:p>
              </w:tc>
              <w:tc>
                <w:tcPr>
                  <w:tcW w:w="890" w:type="dxa"/>
                  <w:tcBorders>
                    <w:top w:val="single" w:color="000000" w:sz="4" w:space="0"/>
                    <w:left w:val="single" w:color="000000" w:sz="4" w:space="0"/>
                    <w:bottom w:val="single" w:color="000000" w:sz="4" w:space="0"/>
                    <w:right w:val="single" w:color="000000" w:sz="4" w:space="0"/>
                  </w:tcBorders>
                  <w:vAlign w:val="center"/>
                </w:tcPr>
                <w:p w14:paraId="43A387FF">
                  <w:pPr>
                    <w:jc w:val="center"/>
                    <w:rPr>
                      <w:b/>
                      <w:color w:val="000000"/>
                    </w:rPr>
                  </w:pPr>
                  <w:r>
                    <w:rPr>
                      <w:rFonts w:ascii="宋体" w:hAnsi="宋体"/>
                      <w:b/>
                      <w:color w:val="000000"/>
                    </w:rPr>
                    <w:t>浓度</w:t>
                  </w:r>
                  <w:r>
                    <w:rPr>
                      <w:b/>
                      <w:color w:val="000000"/>
                    </w:rPr>
                    <w:t>(mg/m</w:t>
                  </w:r>
                  <w:r>
                    <w:rPr>
                      <w:b/>
                      <w:color w:val="000000"/>
                      <w:vertAlign w:val="superscript"/>
                    </w:rPr>
                    <w:t>3</w:t>
                  </w:r>
                  <w:r>
                    <w:rPr>
                      <w:b/>
                      <w:color w:val="000000"/>
                    </w:rPr>
                    <w:t>)</w:t>
                  </w:r>
                </w:p>
              </w:tc>
              <w:tc>
                <w:tcPr>
                  <w:tcW w:w="743" w:type="dxa"/>
                  <w:vMerge w:val="continue"/>
                  <w:tcBorders>
                    <w:top w:val="single" w:color="000000" w:sz="8" w:space="0"/>
                    <w:left w:val="single" w:color="000000" w:sz="4" w:space="0"/>
                    <w:bottom w:val="single" w:color="000000" w:sz="4" w:space="0"/>
                    <w:right w:val="single" w:color="000000" w:sz="4" w:space="0"/>
                  </w:tcBorders>
                  <w:vAlign w:val="center"/>
                </w:tcPr>
                <w:p w14:paraId="73A5127B">
                  <w:pPr>
                    <w:widowControl/>
                    <w:jc w:val="left"/>
                    <w:rPr>
                      <w:b/>
                      <w:color w:val="000000"/>
                      <w:szCs w:val="21"/>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EC2F883">
                  <w:pPr>
                    <w:jc w:val="center"/>
                    <w:rPr>
                      <w:b/>
                      <w:color w:val="000000"/>
                    </w:rPr>
                  </w:pPr>
                  <w:r>
                    <w:rPr>
                      <w:rFonts w:ascii="宋体" w:hAnsi="宋体"/>
                      <w:b/>
                      <w:color w:val="000000"/>
                    </w:rPr>
                    <w:t>排放量</w:t>
                  </w:r>
                  <w:r>
                    <w:rPr>
                      <w:b/>
                      <w:color w:val="000000"/>
                    </w:rPr>
                    <w:t>(t/a)</w:t>
                  </w:r>
                </w:p>
              </w:tc>
              <w:tc>
                <w:tcPr>
                  <w:tcW w:w="743" w:type="dxa"/>
                  <w:tcBorders>
                    <w:top w:val="single" w:color="000000" w:sz="4" w:space="0"/>
                    <w:left w:val="single" w:color="000000" w:sz="4" w:space="0"/>
                    <w:bottom w:val="single" w:color="000000" w:sz="4" w:space="0"/>
                    <w:right w:val="single" w:color="000000" w:sz="4" w:space="0"/>
                  </w:tcBorders>
                  <w:vAlign w:val="center"/>
                </w:tcPr>
                <w:p w14:paraId="38C48EEF">
                  <w:pPr>
                    <w:jc w:val="center"/>
                    <w:rPr>
                      <w:b/>
                      <w:color w:val="000000"/>
                    </w:rPr>
                  </w:pPr>
                  <w:r>
                    <w:rPr>
                      <w:rFonts w:ascii="宋体" w:hAnsi="宋体"/>
                      <w:b/>
                      <w:color w:val="000000"/>
                    </w:rPr>
                    <w:t>速率</w:t>
                  </w:r>
                  <w:r>
                    <w:rPr>
                      <w:b/>
                      <w:color w:val="000000"/>
                    </w:rPr>
                    <w:t>(kg/h)</w:t>
                  </w:r>
                </w:p>
              </w:tc>
              <w:tc>
                <w:tcPr>
                  <w:tcW w:w="984" w:type="dxa"/>
                  <w:tcBorders>
                    <w:top w:val="single" w:color="000000" w:sz="4" w:space="0"/>
                    <w:left w:val="single" w:color="000000" w:sz="4" w:space="0"/>
                    <w:bottom w:val="single" w:color="000000" w:sz="4" w:space="0"/>
                    <w:right w:val="nil"/>
                  </w:tcBorders>
                  <w:vAlign w:val="center"/>
                </w:tcPr>
                <w:p w14:paraId="67AC3C64">
                  <w:pPr>
                    <w:jc w:val="center"/>
                    <w:rPr>
                      <w:b/>
                      <w:color w:val="000000"/>
                    </w:rPr>
                  </w:pPr>
                  <w:r>
                    <w:rPr>
                      <w:rFonts w:ascii="宋体" w:hAnsi="宋体"/>
                      <w:b/>
                      <w:color w:val="000000"/>
                    </w:rPr>
                    <w:t>浓度</w:t>
                  </w:r>
                  <w:r>
                    <w:rPr>
                      <w:b/>
                      <w:color w:val="000000"/>
                    </w:rPr>
                    <w:t>(mg/m</w:t>
                  </w:r>
                  <w:r>
                    <w:rPr>
                      <w:b/>
                      <w:color w:val="000000"/>
                      <w:vertAlign w:val="superscript"/>
                    </w:rPr>
                    <w:t>3</w:t>
                  </w:r>
                  <w:r>
                    <w:rPr>
                      <w:b/>
                      <w:color w:val="000000"/>
                    </w:rPr>
                    <w:t>)</w:t>
                  </w:r>
                </w:p>
              </w:tc>
            </w:tr>
            <w:tr w14:paraId="698D1B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92" w:type="dxa"/>
                  <w:tcBorders>
                    <w:top w:val="single" w:color="000000" w:sz="4" w:space="0"/>
                    <w:left w:val="nil"/>
                    <w:bottom w:val="single" w:color="000000" w:sz="4" w:space="0"/>
                    <w:right w:val="single" w:color="000000" w:sz="4" w:space="0"/>
                  </w:tcBorders>
                  <w:vAlign w:val="center"/>
                </w:tcPr>
                <w:p w14:paraId="6AF94095">
                  <w:pPr>
                    <w:jc w:val="center"/>
                    <w:rPr>
                      <w:color w:val="000000"/>
                    </w:rPr>
                  </w:pPr>
                  <w:r>
                    <w:rPr>
                      <w:rFonts w:hint="eastAsia" w:ascii="宋体" w:hAnsi="宋体"/>
                      <w:color w:val="000000"/>
                    </w:rPr>
                    <w:t>熔融挤出</w:t>
                  </w:r>
                </w:p>
              </w:tc>
              <w:tc>
                <w:tcPr>
                  <w:tcW w:w="890" w:type="dxa"/>
                  <w:tcBorders>
                    <w:top w:val="single" w:color="000000" w:sz="4" w:space="0"/>
                    <w:left w:val="single" w:color="000000" w:sz="4" w:space="0"/>
                    <w:bottom w:val="single" w:color="000000" w:sz="4" w:space="0"/>
                    <w:right w:val="single" w:color="000000" w:sz="4" w:space="0"/>
                  </w:tcBorders>
                  <w:vAlign w:val="center"/>
                </w:tcPr>
                <w:p w14:paraId="772F735C">
                  <w:pPr>
                    <w:jc w:val="center"/>
                    <w:rPr>
                      <w:color w:val="000000"/>
                    </w:rPr>
                  </w:pPr>
                  <w:r>
                    <w:rPr>
                      <w:rFonts w:hint="eastAsia" w:ascii="宋体" w:hAnsi="宋体"/>
                      <w:color w:val="000000"/>
                    </w:rPr>
                    <w:t>非甲烷总烃</w:t>
                  </w:r>
                </w:p>
              </w:tc>
              <w:tc>
                <w:tcPr>
                  <w:tcW w:w="892" w:type="dxa"/>
                  <w:tcBorders>
                    <w:top w:val="single" w:color="000000" w:sz="4" w:space="0"/>
                    <w:left w:val="single" w:color="000000" w:sz="4" w:space="0"/>
                    <w:bottom w:val="single" w:color="000000" w:sz="4" w:space="0"/>
                    <w:right w:val="single" w:color="000000" w:sz="4" w:space="0"/>
                  </w:tcBorders>
                  <w:vAlign w:val="center"/>
                </w:tcPr>
                <w:p w14:paraId="72698B87">
                  <w:pPr>
                    <w:pStyle w:val="86"/>
                  </w:pPr>
                  <w:r>
                    <w:rPr>
                      <w:color w:val="000000"/>
                      <w:szCs w:val="21"/>
                    </w:rPr>
                    <w:t xml:space="preserve">0.7070 </w:t>
                  </w:r>
                </w:p>
              </w:tc>
              <w:tc>
                <w:tcPr>
                  <w:tcW w:w="890" w:type="dxa"/>
                  <w:tcBorders>
                    <w:top w:val="single" w:color="000000" w:sz="4" w:space="0"/>
                    <w:left w:val="single" w:color="000000" w:sz="4" w:space="0"/>
                    <w:bottom w:val="single" w:color="000000" w:sz="4" w:space="0"/>
                    <w:right w:val="single" w:color="000000" w:sz="4" w:space="0"/>
                  </w:tcBorders>
                  <w:vAlign w:val="center"/>
                </w:tcPr>
                <w:p w14:paraId="561AA4AA">
                  <w:pPr>
                    <w:pStyle w:val="86"/>
                  </w:pPr>
                  <w:r>
                    <w:rPr>
                      <w:color w:val="000000"/>
                      <w:szCs w:val="21"/>
                    </w:rPr>
                    <w:t xml:space="preserve">0.6363 </w:t>
                  </w:r>
                </w:p>
              </w:tc>
              <w:tc>
                <w:tcPr>
                  <w:tcW w:w="892" w:type="dxa"/>
                  <w:tcBorders>
                    <w:top w:val="single" w:color="000000" w:sz="4" w:space="0"/>
                    <w:left w:val="single" w:color="000000" w:sz="4" w:space="0"/>
                    <w:bottom w:val="single" w:color="000000" w:sz="4" w:space="0"/>
                    <w:right w:val="single" w:color="000000" w:sz="4" w:space="0"/>
                  </w:tcBorders>
                  <w:vAlign w:val="center"/>
                </w:tcPr>
                <w:p w14:paraId="572BF9E1">
                  <w:pPr>
                    <w:pStyle w:val="86"/>
                  </w:pPr>
                  <w:r>
                    <w:rPr>
                      <w:color w:val="000000"/>
                      <w:szCs w:val="21"/>
                    </w:rPr>
                    <w:t xml:space="preserve">0.0884 </w:t>
                  </w:r>
                </w:p>
              </w:tc>
              <w:tc>
                <w:tcPr>
                  <w:tcW w:w="890" w:type="dxa"/>
                  <w:tcBorders>
                    <w:top w:val="single" w:color="000000" w:sz="4" w:space="0"/>
                    <w:left w:val="single" w:color="000000" w:sz="4" w:space="0"/>
                    <w:bottom w:val="single" w:color="000000" w:sz="4" w:space="0"/>
                    <w:right w:val="single" w:color="000000" w:sz="4" w:space="0"/>
                  </w:tcBorders>
                  <w:vAlign w:val="center"/>
                </w:tcPr>
                <w:p w14:paraId="4D1E0AB3">
                  <w:pPr>
                    <w:pStyle w:val="86"/>
                  </w:pPr>
                  <w:r>
                    <w:rPr>
                      <w:color w:val="000000"/>
                      <w:szCs w:val="21"/>
                    </w:rPr>
                    <w:t xml:space="preserve">17.7 </w:t>
                  </w:r>
                </w:p>
              </w:tc>
              <w:tc>
                <w:tcPr>
                  <w:tcW w:w="743" w:type="dxa"/>
                  <w:tcBorders>
                    <w:top w:val="single" w:color="000000" w:sz="4" w:space="0"/>
                    <w:left w:val="single" w:color="000000" w:sz="4" w:space="0"/>
                    <w:bottom w:val="single" w:color="000000" w:sz="4" w:space="0"/>
                    <w:right w:val="single" w:color="000000" w:sz="4" w:space="0"/>
                  </w:tcBorders>
                  <w:vAlign w:val="center"/>
                </w:tcPr>
                <w:p w14:paraId="148D4654">
                  <w:pPr>
                    <w:pStyle w:val="86"/>
                  </w:pPr>
                  <w:r>
                    <w:rPr>
                      <w:color w:val="000000"/>
                      <w:szCs w:val="21"/>
                    </w:rPr>
                    <w:t>5000</w:t>
                  </w:r>
                </w:p>
              </w:tc>
              <w:tc>
                <w:tcPr>
                  <w:tcW w:w="743" w:type="dxa"/>
                  <w:tcBorders>
                    <w:top w:val="single" w:color="000000" w:sz="4" w:space="0"/>
                    <w:left w:val="single" w:color="000000" w:sz="4" w:space="0"/>
                    <w:bottom w:val="single" w:color="000000" w:sz="4" w:space="0"/>
                    <w:right w:val="single" w:color="000000" w:sz="4" w:space="0"/>
                  </w:tcBorders>
                  <w:vAlign w:val="center"/>
                </w:tcPr>
                <w:p w14:paraId="0ACFBB11">
                  <w:pPr>
                    <w:pStyle w:val="86"/>
                  </w:pPr>
                  <w:r>
                    <w:rPr>
                      <w:color w:val="000000"/>
                      <w:szCs w:val="21"/>
                    </w:rPr>
                    <w:t xml:space="preserve">0.5081 </w:t>
                  </w:r>
                </w:p>
              </w:tc>
              <w:tc>
                <w:tcPr>
                  <w:tcW w:w="743" w:type="dxa"/>
                  <w:tcBorders>
                    <w:top w:val="single" w:color="000000" w:sz="4" w:space="0"/>
                    <w:left w:val="single" w:color="000000" w:sz="4" w:space="0"/>
                    <w:bottom w:val="single" w:color="000000" w:sz="4" w:space="0"/>
                    <w:right w:val="single" w:color="000000" w:sz="4" w:space="0"/>
                  </w:tcBorders>
                  <w:vAlign w:val="center"/>
                </w:tcPr>
                <w:p w14:paraId="5E4837A4">
                  <w:pPr>
                    <w:pStyle w:val="86"/>
                  </w:pPr>
                  <w:r>
                    <w:rPr>
                      <w:color w:val="000000"/>
                      <w:szCs w:val="21"/>
                    </w:rPr>
                    <w:t xml:space="preserve">0.0706 </w:t>
                  </w:r>
                </w:p>
              </w:tc>
              <w:tc>
                <w:tcPr>
                  <w:tcW w:w="984" w:type="dxa"/>
                  <w:tcBorders>
                    <w:top w:val="single" w:color="000000" w:sz="4" w:space="0"/>
                    <w:left w:val="single" w:color="000000" w:sz="4" w:space="0"/>
                    <w:bottom w:val="single" w:color="000000" w:sz="4" w:space="0"/>
                    <w:right w:val="nil"/>
                  </w:tcBorders>
                  <w:vAlign w:val="center"/>
                </w:tcPr>
                <w:p w14:paraId="138B7ED3">
                  <w:pPr>
                    <w:pStyle w:val="86"/>
                  </w:pPr>
                  <w:r>
                    <w:rPr>
                      <w:color w:val="000000"/>
                      <w:szCs w:val="21"/>
                    </w:rPr>
                    <w:t xml:space="preserve">14.1 </w:t>
                  </w:r>
                </w:p>
              </w:tc>
            </w:tr>
          </w:tbl>
          <w:p w14:paraId="2B046168">
            <w:pPr>
              <w:pStyle w:val="28"/>
              <w:ind w:firstLine="480"/>
            </w:pPr>
            <w:r>
              <w:rPr>
                <w:rFonts w:hint="eastAsia"/>
              </w:rPr>
              <w:t>本项目</w:t>
            </w:r>
            <w:r>
              <w:rPr>
                <w:rStyle w:val="27"/>
                <w:rFonts w:hint="eastAsia"/>
              </w:rPr>
              <w:t>熔融挤出工序</w:t>
            </w:r>
            <w:r>
              <w:rPr>
                <w:rFonts w:hint="eastAsia"/>
              </w:rPr>
              <w:t>产生的有机废气经工业高压静电油烟净化装置处理后再经“活性炭吸附/脱附-催化燃烧装置”处理，然后通过一根1</w:t>
            </w:r>
            <w:r>
              <w:t>5</w:t>
            </w:r>
            <w:r>
              <w:rPr>
                <w:rFonts w:hint="eastAsia"/>
              </w:rPr>
              <w:t>m高排气筒排放，废气走向示意图如下：</w:t>
            </w:r>
          </w:p>
          <w:p w14:paraId="75F138F4">
            <w:pPr>
              <w:jc w:val="center"/>
              <w:rPr>
                <w:szCs w:val="21"/>
              </w:rPr>
            </w:pPr>
            <w:r>
              <w:drawing>
                <wp:inline distT="0" distB="0" distL="0" distR="0">
                  <wp:extent cx="4749800" cy="3250565"/>
                  <wp:effectExtent l="0" t="0" r="5080" b="10795"/>
                  <wp:docPr id="855426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26100" name="图片 1"/>
                          <pic:cNvPicPr>
                            <a:picLocks noChangeAspect="1" noChangeArrowheads="1"/>
                          </pic:cNvPicPr>
                        </pic:nvPicPr>
                        <pic:blipFill>
                          <a:blip r:embed="rId23"/>
                          <a:srcRect/>
                          <a:stretch>
                            <a:fillRect/>
                          </a:stretch>
                        </pic:blipFill>
                        <pic:spPr>
                          <a:xfrm>
                            <a:off x="0" y="0"/>
                            <a:ext cx="4749800" cy="3252161"/>
                          </a:xfrm>
                          <a:prstGeom prst="rect">
                            <a:avLst/>
                          </a:prstGeom>
                          <a:noFill/>
                          <a:ln>
                            <a:noFill/>
                          </a:ln>
                        </pic:spPr>
                      </pic:pic>
                    </a:graphicData>
                  </a:graphic>
                </wp:inline>
              </w:drawing>
            </w:r>
          </w:p>
          <w:p w14:paraId="1E8C764B">
            <w:pPr>
              <w:adjustRightInd w:val="0"/>
              <w:snapToGrid w:val="0"/>
              <w:spacing w:line="460" w:lineRule="exact"/>
              <w:jc w:val="center"/>
              <w:textAlignment w:val="baseline"/>
              <w:rPr>
                <w:rFonts w:eastAsia="黑体"/>
                <w:bCs/>
                <w:sz w:val="24"/>
              </w:rPr>
            </w:pPr>
            <w:r>
              <w:rPr>
                <w:rFonts w:ascii="黑体" w:hAnsi="黑体" w:eastAsia="黑体"/>
                <w:sz w:val="24"/>
              </w:rPr>
              <w:t>图</w:t>
            </w:r>
            <w:r>
              <w:rPr>
                <w:rFonts w:eastAsia="黑体"/>
                <w:sz w:val="24"/>
              </w:rPr>
              <w:t>5</w:t>
            </w:r>
            <w:r>
              <w:rPr>
                <w:rFonts w:hint="eastAsia" w:eastAsia="黑体"/>
                <w:sz w:val="24"/>
              </w:rPr>
              <w:t xml:space="preserve">  </w:t>
            </w:r>
            <w:r>
              <w:rPr>
                <w:rFonts w:ascii="黑体" w:hAnsi="黑体" w:eastAsia="黑体"/>
                <w:sz w:val="24"/>
              </w:rPr>
              <w:t>活性炭吸附</w:t>
            </w:r>
            <w:r>
              <w:rPr>
                <w:rFonts w:eastAsia="黑体"/>
                <w:sz w:val="24"/>
              </w:rPr>
              <w:t>/</w:t>
            </w:r>
            <w:r>
              <w:rPr>
                <w:rFonts w:ascii="黑体" w:hAnsi="黑体" w:eastAsia="黑体"/>
                <w:sz w:val="24"/>
              </w:rPr>
              <w:t>脱附</w:t>
            </w:r>
            <w:r>
              <w:rPr>
                <w:rFonts w:eastAsia="黑体"/>
                <w:sz w:val="24"/>
              </w:rPr>
              <w:t>-</w:t>
            </w:r>
            <w:r>
              <w:rPr>
                <w:rFonts w:ascii="黑体" w:hAnsi="黑体" w:eastAsia="黑体"/>
                <w:sz w:val="24"/>
              </w:rPr>
              <w:t>催化燃烧装置废气走向图</w:t>
            </w:r>
          </w:p>
          <w:p w14:paraId="1CD817BA">
            <w:pPr>
              <w:adjustRightInd w:val="0"/>
              <w:snapToGrid w:val="0"/>
              <w:spacing w:line="460" w:lineRule="exact"/>
              <w:ind w:firstLine="480" w:firstLineChars="200"/>
              <w:textAlignment w:val="baseline"/>
              <w:rPr>
                <w:bCs/>
                <w:sz w:val="24"/>
              </w:rPr>
            </w:pPr>
            <w:r>
              <w:rPr>
                <w:rFonts w:ascii="宋体" w:hAnsi="宋体"/>
                <w:bCs/>
                <w:sz w:val="24"/>
              </w:rPr>
              <w:t>有机废气先进入活性炭吸附床进行吸附，经处理后的洁净气体经过</w:t>
            </w:r>
            <w:r>
              <w:rPr>
                <w:bCs/>
                <w:sz w:val="24"/>
              </w:rPr>
              <w:t>15m</w:t>
            </w:r>
            <w:r>
              <w:rPr>
                <w:rFonts w:hint="eastAsia" w:ascii="宋体" w:hAnsi="宋体"/>
                <w:bCs/>
                <w:sz w:val="24"/>
              </w:rPr>
              <w:t>高</w:t>
            </w:r>
            <w:r>
              <w:rPr>
                <w:rFonts w:ascii="宋体" w:hAnsi="宋体"/>
                <w:bCs/>
                <w:sz w:val="24"/>
              </w:rPr>
              <w:t>排气筒排放，气流走向见上图废气走向图红色走向。活性炭经过吸附运行大约</w:t>
            </w:r>
            <w:r>
              <w:rPr>
                <w:bCs/>
                <w:sz w:val="24"/>
              </w:rPr>
              <w:t>5</w:t>
            </w:r>
            <w:r>
              <w:rPr>
                <w:rFonts w:ascii="宋体" w:hAnsi="宋体"/>
                <w:bCs/>
                <w:sz w:val="24"/>
              </w:rPr>
              <w:t>天达到饱和，启动系统的脱附</w:t>
            </w:r>
            <w:r>
              <w:rPr>
                <w:bCs/>
                <w:sz w:val="24"/>
              </w:rPr>
              <w:t>-</w:t>
            </w:r>
            <w:r>
              <w:rPr>
                <w:rFonts w:ascii="宋体" w:hAnsi="宋体"/>
                <w:bCs/>
                <w:sz w:val="24"/>
              </w:rPr>
              <w:t>催化燃烧过程（见上图绿色走向），达到饱和状态的吸附床停止吸附，通过阀门切换进入脱附状态，原用于脱附的活性炭床开启吸附模式，交替进行。</w:t>
            </w:r>
          </w:p>
          <w:p w14:paraId="29130726">
            <w:pPr>
              <w:spacing w:line="460" w:lineRule="exact"/>
              <w:ind w:firstLine="480" w:firstLineChars="200"/>
              <w:rPr>
                <w:bCs/>
                <w:sz w:val="24"/>
              </w:rPr>
            </w:pPr>
            <w:r>
              <w:rPr>
                <w:rFonts w:ascii="宋体" w:hAnsi="宋体"/>
                <w:bCs/>
                <w:sz w:val="24"/>
              </w:rPr>
              <w:t>脱附状态通过热气流将原来已经吸附在活性炭表面的有机溶剂脱附出来，并经过催化燃烧反应转化生成</w:t>
            </w:r>
            <w:r>
              <w:rPr>
                <w:bCs/>
                <w:sz w:val="24"/>
              </w:rPr>
              <w:t>CO</w:t>
            </w:r>
            <w:r>
              <w:rPr>
                <w:bCs/>
                <w:sz w:val="24"/>
                <w:vertAlign w:val="subscript"/>
              </w:rPr>
              <w:t>2</w:t>
            </w:r>
            <w:r>
              <w:rPr>
                <w:rFonts w:ascii="宋体" w:hAnsi="宋体"/>
                <w:bCs/>
                <w:sz w:val="24"/>
              </w:rPr>
              <w:t>和水蒸气等无害物质，并放出热量。反应产生的部分热废气经过热交换部分回用到脱附气流中进行脱附，其余废气经排气筒排放。脱附设计风量</w:t>
            </w:r>
            <w:r>
              <w:rPr>
                <w:bCs/>
                <w:sz w:val="24"/>
              </w:rPr>
              <w:t>1000m</w:t>
            </w:r>
            <w:r>
              <w:rPr>
                <w:bCs/>
                <w:sz w:val="24"/>
                <w:vertAlign w:val="superscript"/>
              </w:rPr>
              <w:t>3</w:t>
            </w:r>
            <w:r>
              <w:rPr>
                <w:bCs/>
                <w:sz w:val="24"/>
              </w:rPr>
              <w:t>/h</w:t>
            </w:r>
            <w:r>
              <w:rPr>
                <w:rFonts w:ascii="宋体" w:hAnsi="宋体"/>
                <w:bCs/>
                <w:sz w:val="24"/>
              </w:rPr>
              <w:t>，燃烧温度</w:t>
            </w:r>
            <w:r>
              <w:rPr>
                <w:rFonts w:hint="eastAsia"/>
                <w:bCs/>
                <w:sz w:val="24"/>
              </w:rPr>
              <w:t>＞</w:t>
            </w:r>
            <w:r>
              <w:rPr>
                <w:bCs/>
                <w:sz w:val="24"/>
              </w:rPr>
              <w:t>300℃</w:t>
            </w:r>
            <w:r>
              <w:rPr>
                <w:rFonts w:ascii="宋体" w:hAnsi="宋体"/>
                <w:bCs/>
                <w:sz w:val="24"/>
              </w:rPr>
              <w:t>，使用电加热</w:t>
            </w:r>
            <w:r>
              <w:rPr>
                <w:rFonts w:hint="eastAsia" w:ascii="宋体" w:hAnsi="宋体"/>
                <w:bCs/>
                <w:sz w:val="24"/>
              </w:rPr>
              <w:t>，</w:t>
            </w:r>
            <w:r>
              <w:rPr>
                <w:rStyle w:val="27"/>
                <w:rFonts w:hint="eastAsia"/>
              </w:rPr>
              <w:t>设计</w:t>
            </w:r>
            <w:r>
              <w:rPr>
                <w:rStyle w:val="27"/>
              </w:rPr>
              <w:t>脱附时间为每次</w:t>
            </w:r>
            <w:r>
              <w:rPr>
                <w:rStyle w:val="27"/>
                <w:rFonts w:hint="eastAsia"/>
              </w:rPr>
              <w:t>8</w:t>
            </w:r>
            <w:r>
              <w:rPr>
                <w:rStyle w:val="27"/>
              </w:rPr>
              <w:t>h。</w:t>
            </w:r>
          </w:p>
          <w:p w14:paraId="3488E1AB">
            <w:pPr>
              <w:pStyle w:val="28"/>
              <w:ind w:firstLine="480"/>
              <w:rPr>
                <w:rFonts w:hint="eastAsia" w:ascii="宋体" w:hAnsi="宋体"/>
                <w:bCs/>
              </w:rPr>
            </w:pPr>
            <w:r>
              <w:rPr>
                <w:rFonts w:hint="eastAsia"/>
              </w:rPr>
              <w:t>本项目“活性炭吸附/脱附+催化燃烧装置”共设置2个活性炭床，一个吸附，一个脱附，每个活性炭床填充量为</w:t>
            </w:r>
            <w:r>
              <w:t>0.5</w:t>
            </w:r>
            <w:r>
              <w:rPr>
                <w:rFonts w:hint="eastAsia"/>
              </w:rPr>
              <w:t>t。根据《吸附法工业有机废气治理工程技术规范》（HJ2026-2013），吸附装置的净化效率不得低于90%，根据评价最不利原则，本项目活性炭吸附装置效率以90%计。</w:t>
            </w:r>
            <w:r>
              <w:rPr>
                <w:rFonts w:ascii="宋体" w:hAnsi="宋体"/>
                <w:bCs/>
              </w:rPr>
              <w:t>根据《催化燃烧法工业有机废气治理工程技术规范》（</w:t>
            </w:r>
            <w:r>
              <w:rPr>
                <w:bCs/>
              </w:rPr>
              <w:t>HJ2027-2013</w:t>
            </w:r>
            <w:r>
              <w:rPr>
                <w:rFonts w:ascii="宋体" w:hAnsi="宋体"/>
                <w:bCs/>
              </w:rPr>
              <w:t>），催化燃烧装置的净化效率不低于</w:t>
            </w:r>
            <w:r>
              <w:rPr>
                <w:bCs/>
              </w:rPr>
              <w:t>97%</w:t>
            </w:r>
            <w:r>
              <w:rPr>
                <w:rFonts w:ascii="宋体" w:hAnsi="宋体"/>
                <w:bCs/>
              </w:rPr>
              <w:t>，根据评价最不利原则，本项目催化燃烧</w:t>
            </w:r>
            <w:r>
              <w:rPr>
                <w:rFonts w:hint="eastAsia" w:ascii="宋体" w:hAnsi="宋体"/>
                <w:bCs/>
              </w:rPr>
              <w:t>装置</w:t>
            </w:r>
            <w:r>
              <w:rPr>
                <w:rFonts w:ascii="宋体" w:hAnsi="宋体"/>
                <w:bCs/>
              </w:rPr>
              <w:t>对活性炭吸附后脱附的非甲烷总烃的去除率以</w:t>
            </w:r>
            <w:r>
              <w:rPr>
                <w:bCs/>
              </w:rPr>
              <w:t>97%</w:t>
            </w:r>
            <w:r>
              <w:rPr>
                <w:rFonts w:hint="eastAsia" w:ascii="宋体" w:hAnsi="宋体"/>
                <w:bCs/>
              </w:rPr>
              <w:t>计（对油雾的去处效率按0计），</w:t>
            </w:r>
            <w:r>
              <w:rPr>
                <w:rStyle w:val="27"/>
                <w:rFonts w:hint="eastAsia"/>
              </w:rPr>
              <w:t>脱附时间为</w:t>
            </w:r>
            <w:r>
              <w:rPr>
                <w:rStyle w:val="27"/>
              </w:rPr>
              <w:t>48</w:t>
            </w:r>
            <w:r>
              <w:rPr>
                <w:rStyle w:val="27"/>
                <w:rFonts w:hint="eastAsia"/>
              </w:rPr>
              <w:t>0h/a，熔融挤出工序工作时间为7</w:t>
            </w:r>
            <w:r>
              <w:rPr>
                <w:rStyle w:val="27"/>
              </w:rPr>
              <w:t>200</w:t>
            </w:r>
            <w:r>
              <w:rPr>
                <w:rStyle w:val="27"/>
                <w:rFonts w:hint="eastAsia"/>
              </w:rPr>
              <w:t>h/a</w:t>
            </w:r>
            <w:r>
              <w:rPr>
                <w:rStyle w:val="27"/>
              </w:rPr>
              <w:t>。</w:t>
            </w:r>
            <w:r>
              <w:rPr>
                <w:rStyle w:val="27"/>
                <w:rFonts w:hint="eastAsia"/>
              </w:rPr>
              <w:t>由前文分析可知，本项目熔融挤出工序产生的废气经</w:t>
            </w:r>
            <w:r>
              <w:rPr>
                <w:rFonts w:hint="eastAsia"/>
              </w:rPr>
              <w:t>工业高压静电油烟净化装置处理后非甲烷总经排放量为0.5081t/a，即</w:t>
            </w:r>
            <w:r>
              <w:rPr>
                <w:rStyle w:val="27"/>
                <w:rFonts w:hint="eastAsia"/>
              </w:rPr>
              <w:t>进入</w:t>
            </w:r>
            <w:r>
              <w:rPr>
                <w:rFonts w:hint="eastAsia"/>
              </w:rPr>
              <w:t>活性炭吸附/脱附+催化燃烧装置中的非甲烷总烃量为0.5081t/a。</w:t>
            </w:r>
            <w:r>
              <w:rPr>
                <w:rStyle w:val="27"/>
                <w:rFonts w:hint="eastAsia"/>
              </w:rPr>
              <w:t>则</w:t>
            </w:r>
            <w:r>
              <w:rPr>
                <w:rStyle w:val="27"/>
              </w:rPr>
              <w:t>本项目</w:t>
            </w:r>
            <w:r>
              <w:rPr>
                <w:rStyle w:val="27"/>
                <w:rFonts w:hint="eastAsia"/>
              </w:rPr>
              <w:t>有机</w:t>
            </w:r>
            <w:r>
              <w:rPr>
                <w:rStyle w:val="27"/>
              </w:rPr>
              <w:t>废气</w:t>
            </w:r>
            <w:r>
              <w:rPr>
                <w:rStyle w:val="27"/>
                <w:rFonts w:hint="eastAsia"/>
              </w:rPr>
              <w:t>进入</w:t>
            </w:r>
            <w:r>
              <w:rPr>
                <w:rFonts w:hint="eastAsia"/>
              </w:rPr>
              <w:t>活性炭吸附/脱附+催化燃烧装置的</w:t>
            </w:r>
            <w:r>
              <w:rPr>
                <w:rStyle w:val="27"/>
              </w:rPr>
              <w:t>产排放情况见</w:t>
            </w:r>
            <w:r>
              <w:rPr>
                <w:rFonts w:ascii="宋体" w:hAnsi="宋体"/>
                <w:bCs/>
              </w:rPr>
              <w:t>下表</w:t>
            </w:r>
            <w:r>
              <w:rPr>
                <w:rFonts w:hint="eastAsia" w:ascii="宋体" w:hAnsi="宋体"/>
                <w:bCs/>
              </w:rPr>
              <w:t>：</w:t>
            </w:r>
          </w:p>
          <w:p w14:paraId="024635C4">
            <w:pPr>
              <w:pStyle w:val="67"/>
              <w:ind w:firstLine="480"/>
            </w:pPr>
            <w:r>
              <w:t xml:space="preserve">         本项目</w:t>
            </w:r>
            <w:r>
              <w:rPr>
                <w:rFonts w:hint="eastAsia"/>
              </w:rPr>
              <w:t>有机废气</w:t>
            </w:r>
            <w:r>
              <w:t>产生及排放情况</w:t>
            </w:r>
          </w:p>
          <w:tbl>
            <w:tblPr>
              <w:tblStyle w:val="20"/>
              <w:tblW w:w="8574"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274"/>
              <w:gridCol w:w="849"/>
              <w:gridCol w:w="851"/>
              <w:gridCol w:w="997"/>
              <w:gridCol w:w="853"/>
              <w:gridCol w:w="717"/>
              <w:gridCol w:w="840"/>
              <w:gridCol w:w="708"/>
              <w:gridCol w:w="709"/>
              <w:gridCol w:w="776"/>
            </w:tblGrid>
            <w:tr w14:paraId="5790111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274" w:type="dxa"/>
                  <w:vMerge w:val="restart"/>
                  <w:vAlign w:val="center"/>
                </w:tcPr>
                <w:p w14:paraId="5A894F1B">
                  <w:pPr>
                    <w:jc w:val="center"/>
                    <w:rPr>
                      <w:b/>
                      <w:szCs w:val="21"/>
                    </w:rPr>
                  </w:pPr>
                  <w:r>
                    <w:rPr>
                      <w:rFonts w:ascii="宋体" w:hAnsi="宋体"/>
                      <w:b/>
                    </w:rPr>
                    <w:t>污染</w:t>
                  </w:r>
                </w:p>
                <w:p w14:paraId="60ACB3C6">
                  <w:pPr>
                    <w:jc w:val="center"/>
                    <w:rPr>
                      <w:bCs/>
                    </w:rPr>
                  </w:pPr>
                  <w:r>
                    <w:rPr>
                      <w:rFonts w:ascii="宋体" w:hAnsi="宋体"/>
                      <w:b/>
                    </w:rPr>
                    <w:t>因子</w:t>
                  </w:r>
                </w:p>
              </w:tc>
              <w:tc>
                <w:tcPr>
                  <w:tcW w:w="2697" w:type="dxa"/>
                  <w:gridSpan w:val="3"/>
                  <w:vAlign w:val="center"/>
                </w:tcPr>
                <w:p w14:paraId="5C79922A">
                  <w:pPr>
                    <w:jc w:val="center"/>
                    <w:rPr>
                      <w:b/>
                    </w:rPr>
                  </w:pPr>
                  <w:r>
                    <w:rPr>
                      <w:rFonts w:ascii="宋体" w:hAnsi="宋体"/>
                      <w:b/>
                    </w:rPr>
                    <w:t>产生情况</w:t>
                  </w:r>
                </w:p>
              </w:tc>
              <w:tc>
                <w:tcPr>
                  <w:tcW w:w="1570" w:type="dxa"/>
                  <w:gridSpan w:val="2"/>
                  <w:vAlign w:val="center"/>
                </w:tcPr>
                <w:p w14:paraId="3EE929ED">
                  <w:pPr>
                    <w:jc w:val="center"/>
                    <w:rPr>
                      <w:b/>
                    </w:rPr>
                  </w:pPr>
                  <w:r>
                    <w:rPr>
                      <w:rFonts w:ascii="宋体" w:hAnsi="宋体"/>
                      <w:b/>
                    </w:rPr>
                    <w:t>活性炭吸附后排放情况</w:t>
                  </w:r>
                </w:p>
              </w:tc>
              <w:tc>
                <w:tcPr>
                  <w:tcW w:w="1548" w:type="dxa"/>
                  <w:gridSpan w:val="2"/>
                  <w:vAlign w:val="center"/>
                </w:tcPr>
                <w:p w14:paraId="11FA4CAE">
                  <w:pPr>
                    <w:jc w:val="center"/>
                    <w:rPr>
                      <w:b/>
                    </w:rPr>
                  </w:pPr>
                  <w:r>
                    <w:rPr>
                      <w:rFonts w:ascii="宋体" w:hAnsi="宋体"/>
                      <w:b/>
                    </w:rPr>
                    <w:t>脱附</w:t>
                  </w:r>
                  <w:r>
                    <w:rPr>
                      <w:rFonts w:hint="eastAsia" w:ascii="宋体" w:hAnsi="宋体"/>
                      <w:b/>
                    </w:rPr>
                    <w:t>情况</w:t>
                  </w:r>
                </w:p>
              </w:tc>
              <w:tc>
                <w:tcPr>
                  <w:tcW w:w="1485" w:type="dxa"/>
                  <w:gridSpan w:val="2"/>
                  <w:vAlign w:val="center"/>
                </w:tcPr>
                <w:p w14:paraId="4A5C720C">
                  <w:pPr>
                    <w:jc w:val="center"/>
                    <w:rPr>
                      <w:b/>
                    </w:rPr>
                  </w:pPr>
                  <w:r>
                    <w:rPr>
                      <w:rFonts w:ascii="宋体" w:hAnsi="宋体"/>
                      <w:b/>
                    </w:rPr>
                    <w:t>催化燃烧后排放情况</w:t>
                  </w:r>
                </w:p>
              </w:tc>
            </w:tr>
            <w:tr w14:paraId="4044BA7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274" w:type="dxa"/>
                  <w:vMerge w:val="continue"/>
                  <w:vAlign w:val="center"/>
                </w:tcPr>
                <w:p w14:paraId="4CECC4A6">
                  <w:pPr>
                    <w:widowControl/>
                    <w:jc w:val="left"/>
                    <w:rPr>
                      <w:bCs/>
                      <w:szCs w:val="21"/>
                    </w:rPr>
                  </w:pPr>
                </w:p>
              </w:tc>
              <w:tc>
                <w:tcPr>
                  <w:tcW w:w="849" w:type="dxa"/>
                  <w:tcMar>
                    <w:top w:w="0" w:type="dxa"/>
                    <w:left w:w="57" w:type="dxa"/>
                    <w:bottom w:w="0" w:type="dxa"/>
                    <w:right w:w="79" w:type="dxa"/>
                  </w:tcMar>
                  <w:vAlign w:val="center"/>
                </w:tcPr>
                <w:p w14:paraId="4AE025C3">
                  <w:pPr>
                    <w:jc w:val="center"/>
                    <w:rPr>
                      <w:b/>
                    </w:rPr>
                  </w:pPr>
                  <w:r>
                    <w:rPr>
                      <w:rFonts w:ascii="宋体" w:hAnsi="宋体"/>
                      <w:b/>
                    </w:rPr>
                    <w:t>收集量</w:t>
                  </w:r>
                  <w:r>
                    <w:rPr>
                      <w:b/>
                    </w:rPr>
                    <w:t>(t/a)</w:t>
                  </w:r>
                </w:p>
              </w:tc>
              <w:tc>
                <w:tcPr>
                  <w:tcW w:w="851" w:type="dxa"/>
                  <w:vAlign w:val="center"/>
                </w:tcPr>
                <w:p w14:paraId="14158B2D">
                  <w:pPr>
                    <w:jc w:val="center"/>
                    <w:rPr>
                      <w:b/>
                    </w:rPr>
                  </w:pPr>
                  <w:r>
                    <w:rPr>
                      <w:rFonts w:ascii="宋体" w:hAnsi="宋体"/>
                      <w:b/>
                    </w:rPr>
                    <w:t>速率</w:t>
                  </w:r>
                </w:p>
                <w:p w14:paraId="1988EEF4">
                  <w:pPr>
                    <w:jc w:val="center"/>
                    <w:rPr>
                      <w:b/>
                    </w:rPr>
                  </w:pPr>
                  <w:r>
                    <w:rPr>
                      <w:b/>
                    </w:rPr>
                    <w:t>(kg/h)</w:t>
                  </w:r>
                </w:p>
              </w:tc>
              <w:tc>
                <w:tcPr>
                  <w:tcW w:w="997" w:type="dxa"/>
                  <w:tcMar>
                    <w:top w:w="0" w:type="dxa"/>
                    <w:left w:w="57" w:type="dxa"/>
                    <w:bottom w:w="0" w:type="dxa"/>
                    <w:right w:w="74" w:type="dxa"/>
                  </w:tcMar>
                  <w:vAlign w:val="center"/>
                </w:tcPr>
                <w:p w14:paraId="3543C38F">
                  <w:pPr>
                    <w:jc w:val="center"/>
                    <w:rPr>
                      <w:b/>
                    </w:rPr>
                  </w:pPr>
                  <w:r>
                    <w:rPr>
                      <w:rFonts w:ascii="宋体" w:hAnsi="宋体"/>
                      <w:b/>
                    </w:rPr>
                    <w:t>浓度</w:t>
                  </w:r>
                </w:p>
                <w:p w14:paraId="03B21247">
                  <w:pPr>
                    <w:jc w:val="center"/>
                    <w:rPr>
                      <w:b/>
                    </w:rPr>
                  </w:pPr>
                  <w:r>
                    <w:rPr>
                      <w:b/>
                    </w:rPr>
                    <w:t>(mg/m</w:t>
                  </w:r>
                  <w:r>
                    <w:rPr>
                      <w:b/>
                      <w:vertAlign w:val="superscript"/>
                    </w:rPr>
                    <w:t>3</w:t>
                  </w:r>
                  <w:r>
                    <w:rPr>
                      <w:b/>
                    </w:rPr>
                    <w:t>)</w:t>
                  </w:r>
                </w:p>
              </w:tc>
              <w:tc>
                <w:tcPr>
                  <w:tcW w:w="853" w:type="dxa"/>
                  <w:vAlign w:val="center"/>
                </w:tcPr>
                <w:p w14:paraId="6173F2A6">
                  <w:pPr>
                    <w:jc w:val="center"/>
                    <w:rPr>
                      <w:b/>
                    </w:rPr>
                  </w:pPr>
                  <w:r>
                    <w:rPr>
                      <w:rFonts w:ascii="宋体" w:hAnsi="宋体"/>
                      <w:b/>
                    </w:rPr>
                    <w:t>排放量</w:t>
                  </w:r>
                </w:p>
                <w:p w14:paraId="3830C7BC">
                  <w:pPr>
                    <w:jc w:val="center"/>
                    <w:rPr>
                      <w:b/>
                    </w:rPr>
                  </w:pPr>
                  <w:r>
                    <w:rPr>
                      <w:b/>
                    </w:rPr>
                    <w:t>(t/a)</w:t>
                  </w:r>
                </w:p>
              </w:tc>
              <w:tc>
                <w:tcPr>
                  <w:tcW w:w="717" w:type="dxa"/>
                  <w:vAlign w:val="center"/>
                </w:tcPr>
                <w:p w14:paraId="426B53AF">
                  <w:pPr>
                    <w:jc w:val="center"/>
                    <w:rPr>
                      <w:b/>
                    </w:rPr>
                  </w:pPr>
                  <w:r>
                    <w:rPr>
                      <w:rFonts w:ascii="宋体" w:hAnsi="宋体"/>
                      <w:b/>
                    </w:rPr>
                    <w:t>速率</w:t>
                  </w:r>
                </w:p>
                <w:p w14:paraId="2A7638FE">
                  <w:pPr>
                    <w:jc w:val="center"/>
                    <w:rPr>
                      <w:b/>
                    </w:rPr>
                  </w:pPr>
                  <w:r>
                    <w:rPr>
                      <w:b/>
                    </w:rPr>
                    <w:t>(kg/h)</w:t>
                  </w:r>
                </w:p>
              </w:tc>
              <w:tc>
                <w:tcPr>
                  <w:tcW w:w="840" w:type="dxa"/>
                  <w:vAlign w:val="center"/>
                </w:tcPr>
                <w:p w14:paraId="147528A4">
                  <w:pPr>
                    <w:jc w:val="center"/>
                    <w:rPr>
                      <w:b/>
                    </w:rPr>
                  </w:pPr>
                  <w:r>
                    <w:rPr>
                      <w:rFonts w:hint="eastAsia" w:ascii="宋体" w:hAnsi="宋体"/>
                      <w:b/>
                    </w:rPr>
                    <w:t>脱附</w:t>
                  </w:r>
                  <w:r>
                    <w:rPr>
                      <w:rFonts w:ascii="宋体" w:hAnsi="宋体"/>
                      <w:b/>
                    </w:rPr>
                    <w:t>量</w:t>
                  </w:r>
                  <w:r>
                    <w:rPr>
                      <w:b/>
                    </w:rPr>
                    <w:t>(t/a)</w:t>
                  </w:r>
                </w:p>
              </w:tc>
              <w:tc>
                <w:tcPr>
                  <w:tcW w:w="708" w:type="dxa"/>
                  <w:vAlign w:val="center"/>
                </w:tcPr>
                <w:p w14:paraId="6DA4D02D">
                  <w:pPr>
                    <w:jc w:val="center"/>
                    <w:rPr>
                      <w:b/>
                    </w:rPr>
                  </w:pPr>
                  <w:r>
                    <w:rPr>
                      <w:rFonts w:ascii="宋体" w:hAnsi="宋体"/>
                      <w:b/>
                    </w:rPr>
                    <w:t>速率</w:t>
                  </w:r>
                </w:p>
                <w:p w14:paraId="66D33BD1">
                  <w:pPr>
                    <w:jc w:val="center"/>
                    <w:rPr>
                      <w:b/>
                    </w:rPr>
                  </w:pPr>
                  <w:r>
                    <w:rPr>
                      <w:b/>
                    </w:rPr>
                    <w:t>(kg/h)</w:t>
                  </w:r>
                </w:p>
              </w:tc>
              <w:tc>
                <w:tcPr>
                  <w:tcW w:w="709" w:type="dxa"/>
                  <w:vAlign w:val="center"/>
                </w:tcPr>
                <w:p w14:paraId="50AAA94D">
                  <w:pPr>
                    <w:jc w:val="center"/>
                    <w:rPr>
                      <w:b/>
                    </w:rPr>
                  </w:pPr>
                  <w:r>
                    <w:rPr>
                      <w:rFonts w:ascii="宋体" w:hAnsi="宋体"/>
                      <w:b/>
                    </w:rPr>
                    <w:t>排放量</w:t>
                  </w:r>
                </w:p>
                <w:p w14:paraId="3E2DC9C9">
                  <w:pPr>
                    <w:jc w:val="center"/>
                    <w:rPr>
                      <w:b/>
                    </w:rPr>
                  </w:pPr>
                  <w:r>
                    <w:rPr>
                      <w:b/>
                    </w:rPr>
                    <w:t>(t/a)</w:t>
                  </w:r>
                </w:p>
              </w:tc>
              <w:tc>
                <w:tcPr>
                  <w:tcW w:w="776" w:type="dxa"/>
                  <w:vAlign w:val="center"/>
                </w:tcPr>
                <w:p w14:paraId="7DA3038D">
                  <w:pPr>
                    <w:jc w:val="center"/>
                    <w:rPr>
                      <w:b/>
                    </w:rPr>
                  </w:pPr>
                  <w:r>
                    <w:rPr>
                      <w:rFonts w:ascii="宋体" w:hAnsi="宋体"/>
                      <w:b/>
                    </w:rPr>
                    <w:t>速率</w:t>
                  </w:r>
                </w:p>
                <w:p w14:paraId="71CC28C3">
                  <w:pPr>
                    <w:jc w:val="center"/>
                    <w:rPr>
                      <w:b/>
                    </w:rPr>
                  </w:pPr>
                  <w:r>
                    <w:rPr>
                      <w:b/>
                    </w:rPr>
                    <w:t>(kg/h)</w:t>
                  </w:r>
                </w:p>
              </w:tc>
            </w:tr>
            <w:tr w14:paraId="5AD488D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274" w:type="dxa"/>
                  <w:vAlign w:val="center"/>
                </w:tcPr>
                <w:p w14:paraId="5B8D16D8">
                  <w:pPr>
                    <w:ind w:firstLine="35" w:firstLineChars="17"/>
                    <w:jc w:val="center"/>
                    <w:rPr>
                      <w:bCs/>
                    </w:rPr>
                  </w:pPr>
                  <w:r>
                    <w:rPr>
                      <w:rFonts w:ascii="宋体" w:hAnsi="宋体"/>
                      <w:bCs/>
                    </w:rPr>
                    <w:t>非甲烷总烃</w:t>
                  </w:r>
                </w:p>
              </w:tc>
              <w:tc>
                <w:tcPr>
                  <w:tcW w:w="849" w:type="dxa"/>
                  <w:vAlign w:val="center"/>
                </w:tcPr>
                <w:p w14:paraId="28BD0523">
                  <w:pPr>
                    <w:pStyle w:val="86"/>
                  </w:pPr>
                  <w:r>
                    <w:rPr>
                      <w:color w:val="000000"/>
                      <w:szCs w:val="21"/>
                    </w:rPr>
                    <w:t xml:space="preserve">0.5081 </w:t>
                  </w:r>
                </w:p>
              </w:tc>
              <w:tc>
                <w:tcPr>
                  <w:tcW w:w="851" w:type="dxa"/>
                  <w:vAlign w:val="center"/>
                </w:tcPr>
                <w:p w14:paraId="767AD1CC">
                  <w:pPr>
                    <w:pStyle w:val="86"/>
                  </w:pPr>
                  <w:r>
                    <w:rPr>
                      <w:color w:val="000000"/>
                      <w:szCs w:val="21"/>
                    </w:rPr>
                    <w:t xml:space="preserve">0.0706 </w:t>
                  </w:r>
                </w:p>
              </w:tc>
              <w:tc>
                <w:tcPr>
                  <w:tcW w:w="997" w:type="dxa"/>
                  <w:vAlign w:val="center"/>
                </w:tcPr>
                <w:p w14:paraId="60CF8741">
                  <w:pPr>
                    <w:pStyle w:val="86"/>
                  </w:pPr>
                  <w:r>
                    <w:rPr>
                      <w:color w:val="000000"/>
                      <w:szCs w:val="21"/>
                    </w:rPr>
                    <w:t xml:space="preserve">14.1 </w:t>
                  </w:r>
                </w:p>
              </w:tc>
              <w:tc>
                <w:tcPr>
                  <w:tcW w:w="853" w:type="dxa"/>
                  <w:vAlign w:val="center"/>
                </w:tcPr>
                <w:p w14:paraId="1484A41B">
                  <w:pPr>
                    <w:pStyle w:val="86"/>
                  </w:pPr>
                  <w:r>
                    <w:rPr>
                      <w:color w:val="000000"/>
                      <w:szCs w:val="21"/>
                    </w:rPr>
                    <w:t xml:space="preserve">0.0508 </w:t>
                  </w:r>
                </w:p>
              </w:tc>
              <w:tc>
                <w:tcPr>
                  <w:tcW w:w="717" w:type="dxa"/>
                  <w:vAlign w:val="center"/>
                </w:tcPr>
                <w:p w14:paraId="3F984AF8">
                  <w:pPr>
                    <w:pStyle w:val="86"/>
                  </w:pPr>
                  <w:r>
                    <w:rPr>
                      <w:color w:val="000000"/>
                      <w:szCs w:val="21"/>
                    </w:rPr>
                    <w:t xml:space="preserve">0.0071 </w:t>
                  </w:r>
                </w:p>
              </w:tc>
              <w:tc>
                <w:tcPr>
                  <w:tcW w:w="840" w:type="dxa"/>
                  <w:vAlign w:val="center"/>
                </w:tcPr>
                <w:p w14:paraId="5080D78C">
                  <w:pPr>
                    <w:pStyle w:val="86"/>
                  </w:pPr>
                  <w:r>
                    <w:rPr>
                      <w:color w:val="000000"/>
                      <w:szCs w:val="21"/>
                    </w:rPr>
                    <w:t xml:space="preserve">0.4573 </w:t>
                  </w:r>
                </w:p>
              </w:tc>
              <w:tc>
                <w:tcPr>
                  <w:tcW w:w="708" w:type="dxa"/>
                  <w:vAlign w:val="center"/>
                </w:tcPr>
                <w:p w14:paraId="79D9EC53">
                  <w:pPr>
                    <w:pStyle w:val="86"/>
                  </w:pPr>
                  <w:r>
                    <w:rPr>
                      <w:color w:val="000000"/>
                      <w:szCs w:val="21"/>
                    </w:rPr>
                    <w:t xml:space="preserve">0.9527 </w:t>
                  </w:r>
                </w:p>
              </w:tc>
              <w:tc>
                <w:tcPr>
                  <w:tcW w:w="709" w:type="dxa"/>
                  <w:vAlign w:val="center"/>
                </w:tcPr>
                <w:p w14:paraId="384C1D85">
                  <w:pPr>
                    <w:pStyle w:val="86"/>
                  </w:pPr>
                  <w:r>
                    <w:rPr>
                      <w:color w:val="000000"/>
                      <w:szCs w:val="21"/>
                    </w:rPr>
                    <w:t xml:space="preserve">0.0137 </w:t>
                  </w:r>
                </w:p>
              </w:tc>
              <w:tc>
                <w:tcPr>
                  <w:tcW w:w="776" w:type="dxa"/>
                  <w:vAlign w:val="center"/>
                </w:tcPr>
                <w:p w14:paraId="5B154A69">
                  <w:pPr>
                    <w:pStyle w:val="86"/>
                  </w:pPr>
                  <w:r>
                    <w:rPr>
                      <w:color w:val="000000"/>
                      <w:szCs w:val="21"/>
                    </w:rPr>
                    <w:t xml:space="preserve">0.0285 </w:t>
                  </w:r>
                </w:p>
              </w:tc>
            </w:tr>
          </w:tbl>
          <w:p w14:paraId="2692931F">
            <w:pPr>
              <w:spacing w:line="440" w:lineRule="exact"/>
              <w:ind w:firstLine="480" w:firstLineChars="200"/>
              <w:rPr>
                <w:bCs/>
                <w:sz w:val="24"/>
              </w:rPr>
            </w:pPr>
            <w:r>
              <w:rPr>
                <w:rFonts w:ascii="宋体" w:hAnsi="宋体"/>
                <w:bCs/>
                <w:sz w:val="24"/>
              </w:rPr>
              <w:t>催化燃烧装置开启时，各污染物的排放浓度见下表。</w:t>
            </w:r>
          </w:p>
          <w:p w14:paraId="6022DF21">
            <w:pPr>
              <w:pStyle w:val="67"/>
              <w:ind w:firstLine="480"/>
            </w:pPr>
            <w:r>
              <w:t xml:space="preserve">            </w:t>
            </w:r>
            <w:r>
              <w:rPr>
                <w:rFonts w:ascii="黑体" w:hAnsi="黑体"/>
              </w:rPr>
              <w:t>本项目有机废气排放情况一览表</w:t>
            </w:r>
          </w:p>
          <w:tbl>
            <w:tblPr>
              <w:tblStyle w:val="20"/>
              <w:tblW w:w="8386"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9"/>
              <w:gridCol w:w="1017"/>
              <w:gridCol w:w="845"/>
              <w:gridCol w:w="849"/>
              <w:gridCol w:w="988"/>
              <w:gridCol w:w="846"/>
              <w:gridCol w:w="854"/>
              <w:gridCol w:w="990"/>
              <w:gridCol w:w="1098"/>
            </w:tblGrid>
            <w:tr w14:paraId="7F38629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9" w:type="dxa"/>
                  <w:vMerge w:val="restart"/>
                  <w:vAlign w:val="center"/>
                </w:tcPr>
                <w:p w14:paraId="34D6F125">
                  <w:pPr>
                    <w:adjustRightInd w:val="0"/>
                    <w:snapToGrid w:val="0"/>
                    <w:jc w:val="center"/>
                    <w:textAlignment w:val="baseline"/>
                    <w:rPr>
                      <w:b/>
                      <w:szCs w:val="21"/>
                    </w:rPr>
                  </w:pPr>
                  <w:r>
                    <w:rPr>
                      <w:rFonts w:ascii="宋体" w:hAnsi="宋体"/>
                      <w:b/>
                    </w:rPr>
                    <w:t>污染</w:t>
                  </w:r>
                </w:p>
                <w:p w14:paraId="34EDF175">
                  <w:pPr>
                    <w:adjustRightInd w:val="0"/>
                    <w:snapToGrid w:val="0"/>
                    <w:jc w:val="center"/>
                    <w:textAlignment w:val="baseline"/>
                    <w:rPr>
                      <w:bCs/>
                    </w:rPr>
                  </w:pPr>
                  <w:r>
                    <w:rPr>
                      <w:rFonts w:ascii="宋体" w:hAnsi="宋体"/>
                      <w:b/>
                    </w:rPr>
                    <w:t>因子</w:t>
                  </w:r>
                </w:p>
              </w:tc>
              <w:tc>
                <w:tcPr>
                  <w:tcW w:w="7487" w:type="dxa"/>
                  <w:gridSpan w:val="8"/>
                  <w:vAlign w:val="center"/>
                </w:tcPr>
                <w:p w14:paraId="2754E741">
                  <w:pPr>
                    <w:adjustRightInd w:val="0"/>
                    <w:snapToGrid w:val="0"/>
                    <w:jc w:val="center"/>
                    <w:textAlignment w:val="baseline"/>
                    <w:rPr>
                      <w:b/>
                    </w:rPr>
                  </w:pPr>
                  <w:r>
                    <w:rPr>
                      <w:rFonts w:ascii="宋体" w:hAnsi="宋体"/>
                      <w:b/>
                    </w:rPr>
                    <w:t>排放情况</w:t>
                  </w:r>
                </w:p>
              </w:tc>
            </w:tr>
            <w:tr w14:paraId="217B456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9" w:type="dxa"/>
                  <w:vMerge w:val="continue"/>
                  <w:vAlign w:val="center"/>
                </w:tcPr>
                <w:p w14:paraId="312BC4C7">
                  <w:pPr>
                    <w:widowControl/>
                    <w:jc w:val="left"/>
                    <w:rPr>
                      <w:bCs/>
                      <w:szCs w:val="21"/>
                    </w:rPr>
                  </w:pPr>
                </w:p>
              </w:tc>
              <w:tc>
                <w:tcPr>
                  <w:tcW w:w="2711" w:type="dxa"/>
                  <w:gridSpan w:val="3"/>
                  <w:vAlign w:val="center"/>
                </w:tcPr>
                <w:p w14:paraId="7728D27E">
                  <w:pPr>
                    <w:adjustRightInd w:val="0"/>
                    <w:snapToGrid w:val="0"/>
                    <w:jc w:val="center"/>
                    <w:textAlignment w:val="baseline"/>
                    <w:rPr>
                      <w:b/>
                    </w:rPr>
                  </w:pPr>
                  <w:r>
                    <w:rPr>
                      <w:rFonts w:ascii="宋体" w:hAnsi="宋体"/>
                      <w:b/>
                    </w:rPr>
                    <w:t>排放量</w:t>
                  </w:r>
                  <w:r>
                    <w:rPr>
                      <w:b/>
                    </w:rPr>
                    <w:t>(t/a)</w:t>
                  </w:r>
                </w:p>
              </w:tc>
              <w:tc>
                <w:tcPr>
                  <w:tcW w:w="2688" w:type="dxa"/>
                  <w:gridSpan w:val="3"/>
                  <w:vAlign w:val="center"/>
                </w:tcPr>
                <w:p w14:paraId="7420218F">
                  <w:pPr>
                    <w:adjustRightInd w:val="0"/>
                    <w:snapToGrid w:val="0"/>
                    <w:jc w:val="center"/>
                    <w:textAlignment w:val="baseline"/>
                    <w:rPr>
                      <w:b/>
                    </w:rPr>
                  </w:pPr>
                  <w:r>
                    <w:rPr>
                      <w:rFonts w:ascii="宋体" w:hAnsi="宋体"/>
                      <w:b/>
                    </w:rPr>
                    <w:t>速率</w:t>
                  </w:r>
                  <w:r>
                    <w:rPr>
                      <w:b/>
                    </w:rPr>
                    <w:t>(kg/h)</w:t>
                  </w:r>
                </w:p>
              </w:tc>
              <w:tc>
                <w:tcPr>
                  <w:tcW w:w="990" w:type="dxa"/>
                  <w:vMerge w:val="restart"/>
                  <w:vAlign w:val="center"/>
                </w:tcPr>
                <w:p w14:paraId="0FB45979">
                  <w:pPr>
                    <w:jc w:val="center"/>
                    <w:rPr>
                      <w:b/>
                    </w:rPr>
                  </w:pPr>
                  <w:r>
                    <w:rPr>
                      <w:rFonts w:ascii="宋体" w:hAnsi="宋体"/>
                      <w:b/>
                    </w:rPr>
                    <w:t>仅吸附时排放浓度</w:t>
                  </w:r>
                  <w:r>
                    <w:rPr>
                      <w:b/>
                    </w:rPr>
                    <w:t>(mg/m</w:t>
                  </w:r>
                  <w:r>
                    <w:rPr>
                      <w:b/>
                      <w:vertAlign w:val="superscript"/>
                    </w:rPr>
                    <w:t>3</w:t>
                  </w:r>
                  <w:r>
                    <w:rPr>
                      <w:b/>
                    </w:rPr>
                    <w:t>)</w:t>
                  </w:r>
                </w:p>
              </w:tc>
              <w:tc>
                <w:tcPr>
                  <w:tcW w:w="1098" w:type="dxa"/>
                  <w:vMerge w:val="restart"/>
                  <w:vAlign w:val="center"/>
                </w:tcPr>
                <w:p w14:paraId="14D92770">
                  <w:pPr>
                    <w:jc w:val="center"/>
                    <w:rPr>
                      <w:b/>
                    </w:rPr>
                  </w:pPr>
                  <w:r>
                    <w:rPr>
                      <w:rFonts w:ascii="宋体" w:hAnsi="宋体"/>
                      <w:b/>
                    </w:rPr>
                    <w:t>最大排放浓度</w:t>
                  </w:r>
                  <w:r>
                    <w:rPr>
                      <w:b/>
                    </w:rPr>
                    <w:t>*</w:t>
                  </w:r>
                </w:p>
                <w:p w14:paraId="69CABB2B">
                  <w:pPr>
                    <w:jc w:val="center"/>
                  </w:pPr>
                  <w:r>
                    <w:rPr>
                      <w:b/>
                    </w:rPr>
                    <w:t>(mg/m</w:t>
                  </w:r>
                  <w:r>
                    <w:rPr>
                      <w:b/>
                      <w:vertAlign w:val="superscript"/>
                    </w:rPr>
                    <w:t>3</w:t>
                  </w:r>
                  <w:r>
                    <w:rPr>
                      <w:b/>
                    </w:rPr>
                    <w:t>)</w:t>
                  </w:r>
                </w:p>
              </w:tc>
            </w:tr>
            <w:tr w14:paraId="7C050A2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9" w:type="dxa"/>
                  <w:vMerge w:val="continue"/>
                  <w:vAlign w:val="center"/>
                </w:tcPr>
                <w:p w14:paraId="11223FA9">
                  <w:pPr>
                    <w:widowControl/>
                    <w:jc w:val="left"/>
                    <w:rPr>
                      <w:bCs/>
                      <w:szCs w:val="21"/>
                    </w:rPr>
                  </w:pPr>
                </w:p>
              </w:tc>
              <w:tc>
                <w:tcPr>
                  <w:tcW w:w="1017" w:type="dxa"/>
                  <w:vAlign w:val="center"/>
                </w:tcPr>
                <w:p w14:paraId="69F0F58F">
                  <w:pPr>
                    <w:jc w:val="center"/>
                    <w:rPr>
                      <w:b/>
                    </w:rPr>
                  </w:pPr>
                  <w:r>
                    <w:rPr>
                      <w:rFonts w:ascii="宋体" w:hAnsi="宋体"/>
                      <w:b/>
                    </w:rPr>
                    <w:t>活性炭吸附后</w:t>
                  </w:r>
                </w:p>
              </w:tc>
              <w:tc>
                <w:tcPr>
                  <w:tcW w:w="845" w:type="dxa"/>
                  <w:vAlign w:val="center"/>
                </w:tcPr>
                <w:p w14:paraId="5C094D82">
                  <w:pPr>
                    <w:jc w:val="center"/>
                    <w:rPr>
                      <w:b/>
                    </w:rPr>
                  </w:pPr>
                  <w:r>
                    <w:rPr>
                      <w:rFonts w:ascii="宋体" w:hAnsi="宋体"/>
                      <w:b/>
                    </w:rPr>
                    <w:t>催化燃烧后</w:t>
                  </w:r>
                </w:p>
              </w:tc>
              <w:tc>
                <w:tcPr>
                  <w:tcW w:w="849" w:type="dxa"/>
                  <w:vAlign w:val="center"/>
                </w:tcPr>
                <w:p w14:paraId="6BEF56E8">
                  <w:pPr>
                    <w:jc w:val="center"/>
                    <w:rPr>
                      <w:b/>
                    </w:rPr>
                  </w:pPr>
                  <w:r>
                    <w:rPr>
                      <w:rFonts w:ascii="宋体" w:hAnsi="宋体"/>
                      <w:b/>
                    </w:rPr>
                    <w:t>合计</w:t>
                  </w:r>
                </w:p>
              </w:tc>
              <w:tc>
                <w:tcPr>
                  <w:tcW w:w="988" w:type="dxa"/>
                  <w:vAlign w:val="center"/>
                </w:tcPr>
                <w:p w14:paraId="57E5E496">
                  <w:pPr>
                    <w:jc w:val="center"/>
                    <w:rPr>
                      <w:b/>
                    </w:rPr>
                  </w:pPr>
                  <w:r>
                    <w:rPr>
                      <w:rFonts w:ascii="宋体" w:hAnsi="宋体"/>
                      <w:b/>
                    </w:rPr>
                    <w:t>活性炭吸附后</w:t>
                  </w:r>
                </w:p>
              </w:tc>
              <w:tc>
                <w:tcPr>
                  <w:tcW w:w="846" w:type="dxa"/>
                  <w:vAlign w:val="center"/>
                </w:tcPr>
                <w:p w14:paraId="297F3452">
                  <w:pPr>
                    <w:jc w:val="center"/>
                    <w:rPr>
                      <w:b/>
                    </w:rPr>
                  </w:pPr>
                  <w:r>
                    <w:rPr>
                      <w:rFonts w:ascii="宋体" w:hAnsi="宋体"/>
                      <w:b/>
                    </w:rPr>
                    <w:t>催化燃烧后</w:t>
                  </w:r>
                </w:p>
              </w:tc>
              <w:tc>
                <w:tcPr>
                  <w:tcW w:w="854" w:type="dxa"/>
                  <w:vAlign w:val="center"/>
                </w:tcPr>
                <w:p w14:paraId="100701DD">
                  <w:pPr>
                    <w:jc w:val="center"/>
                    <w:rPr>
                      <w:b/>
                    </w:rPr>
                  </w:pPr>
                  <w:r>
                    <w:rPr>
                      <w:rFonts w:ascii="宋体" w:hAnsi="宋体"/>
                      <w:b/>
                    </w:rPr>
                    <w:t>合计</w:t>
                  </w:r>
                </w:p>
              </w:tc>
              <w:tc>
                <w:tcPr>
                  <w:tcW w:w="990" w:type="dxa"/>
                  <w:vMerge w:val="continue"/>
                  <w:vAlign w:val="center"/>
                </w:tcPr>
                <w:p w14:paraId="77DF271D">
                  <w:pPr>
                    <w:widowControl/>
                    <w:jc w:val="left"/>
                    <w:rPr>
                      <w:b/>
                      <w:szCs w:val="21"/>
                    </w:rPr>
                  </w:pPr>
                </w:p>
              </w:tc>
              <w:tc>
                <w:tcPr>
                  <w:tcW w:w="1098" w:type="dxa"/>
                  <w:vMerge w:val="continue"/>
                  <w:vAlign w:val="center"/>
                </w:tcPr>
                <w:p w14:paraId="46EC8DB4">
                  <w:pPr>
                    <w:widowControl/>
                    <w:jc w:val="left"/>
                    <w:rPr>
                      <w:szCs w:val="21"/>
                    </w:rPr>
                  </w:pPr>
                </w:p>
              </w:tc>
            </w:tr>
            <w:tr w14:paraId="384EE2F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9" w:type="dxa"/>
                  <w:vAlign w:val="center"/>
                </w:tcPr>
                <w:p w14:paraId="34A2F125">
                  <w:pPr>
                    <w:adjustRightInd w:val="0"/>
                    <w:snapToGrid w:val="0"/>
                    <w:jc w:val="center"/>
                    <w:textAlignment w:val="baseline"/>
                    <w:rPr>
                      <w:bCs/>
                    </w:rPr>
                  </w:pPr>
                  <w:r>
                    <w:rPr>
                      <w:rFonts w:ascii="宋体" w:hAnsi="宋体"/>
                      <w:bCs/>
                    </w:rPr>
                    <w:t>非甲烷总烃</w:t>
                  </w:r>
                </w:p>
              </w:tc>
              <w:tc>
                <w:tcPr>
                  <w:tcW w:w="1017" w:type="dxa"/>
                  <w:vAlign w:val="center"/>
                </w:tcPr>
                <w:p w14:paraId="6A09F666">
                  <w:pPr>
                    <w:pStyle w:val="86"/>
                  </w:pPr>
                  <w:r>
                    <w:rPr>
                      <w:color w:val="000000"/>
                      <w:szCs w:val="21"/>
                    </w:rPr>
                    <w:t xml:space="preserve">0.0508 </w:t>
                  </w:r>
                </w:p>
              </w:tc>
              <w:tc>
                <w:tcPr>
                  <w:tcW w:w="845" w:type="dxa"/>
                  <w:vAlign w:val="center"/>
                </w:tcPr>
                <w:p w14:paraId="1B3E9EB8">
                  <w:pPr>
                    <w:pStyle w:val="86"/>
                  </w:pPr>
                  <w:r>
                    <w:rPr>
                      <w:color w:val="000000"/>
                      <w:szCs w:val="21"/>
                    </w:rPr>
                    <w:t xml:space="preserve">0.0137 </w:t>
                  </w:r>
                </w:p>
              </w:tc>
              <w:tc>
                <w:tcPr>
                  <w:tcW w:w="849" w:type="dxa"/>
                  <w:vAlign w:val="center"/>
                </w:tcPr>
                <w:p w14:paraId="4C5BAF64">
                  <w:pPr>
                    <w:pStyle w:val="86"/>
                  </w:pPr>
                  <w:r>
                    <w:rPr>
                      <w:color w:val="000000"/>
                      <w:szCs w:val="21"/>
                    </w:rPr>
                    <w:t xml:space="preserve">0.0645 </w:t>
                  </w:r>
                </w:p>
              </w:tc>
              <w:tc>
                <w:tcPr>
                  <w:tcW w:w="988" w:type="dxa"/>
                  <w:vAlign w:val="center"/>
                </w:tcPr>
                <w:p w14:paraId="74647228">
                  <w:pPr>
                    <w:pStyle w:val="86"/>
                  </w:pPr>
                  <w:r>
                    <w:rPr>
                      <w:color w:val="000000"/>
                      <w:szCs w:val="21"/>
                    </w:rPr>
                    <w:t xml:space="preserve">0.0071 </w:t>
                  </w:r>
                </w:p>
              </w:tc>
              <w:tc>
                <w:tcPr>
                  <w:tcW w:w="846" w:type="dxa"/>
                  <w:vAlign w:val="center"/>
                </w:tcPr>
                <w:p w14:paraId="4C7C58C6">
                  <w:pPr>
                    <w:pStyle w:val="86"/>
                  </w:pPr>
                  <w:r>
                    <w:rPr>
                      <w:color w:val="000000"/>
                      <w:szCs w:val="21"/>
                    </w:rPr>
                    <w:t xml:space="preserve">0.0285 </w:t>
                  </w:r>
                </w:p>
              </w:tc>
              <w:tc>
                <w:tcPr>
                  <w:tcW w:w="854" w:type="dxa"/>
                  <w:vAlign w:val="center"/>
                </w:tcPr>
                <w:p w14:paraId="596681AA">
                  <w:pPr>
                    <w:pStyle w:val="86"/>
                  </w:pPr>
                  <w:r>
                    <w:rPr>
                      <w:color w:val="000000"/>
                      <w:szCs w:val="21"/>
                    </w:rPr>
                    <w:t xml:space="preserve">0.0356 </w:t>
                  </w:r>
                </w:p>
              </w:tc>
              <w:tc>
                <w:tcPr>
                  <w:tcW w:w="990" w:type="dxa"/>
                  <w:vAlign w:val="center"/>
                </w:tcPr>
                <w:p w14:paraId="4C893983">
                  <w:pPr>
                    <w:pStyle w:val="86"/>
                  </w:pPr>
                  <w:r>
                    <w:rPr>
                      <w:color w:val="000000"/>
                      <w:szCs w:val="21"/>
                    </w:rPr>
                    <w:t xml:space="preserve">1.41 </w:t>
                  </w:r>
                </w:p>
              </w:tc>
              <w:tc>
                <w:tcPr>
                  <w:tcW w:w="1098" w:type="dxa"/>
                  <w:vAlign w:val="center"/>
                </w:tcPr>
                <w:p w14:paraId="47703FDD">
                  <w:pPr>
                    <w:pStyle w:val="86"/>
                  </w:pPr>
                  <w:r>
                    <w:rPr>
                      <w:color w:val="000000"/>
                      <w:szCs w:val="21"/>
                    </w:rPr>
                    <w:t xml:space="preserve">5.9 </w:t>
                  </w:r>
                </w:p>
              </w:tc>
            </w:tr>
            <w:tr w14:paraId="64ACA59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8386" w:type="dxa"/>
                  <w:gridSpan w:val="9"/>
                  <w:vAlign w:val="center"/>
                </w:tcPr>
                <w:p w14:paraId="3B0FB557">
                  <w:pPr>
                    <w:adjustRightInd w:val="0"/>
                    <w:snapToGrid w:val="0"/>
                    <w:rPr>
                      <w:b/>
                      <w:sz w:val="24"/>
                    </w:rPr>
                  </w:pPr>
                  <w:r>
                    <w:rPr>
                      <w:rFonts w:ascii="宋体" w:hAnsi="宋体"/>
                      <w:b/>
                      <w:sz w:val="18"/>
                      <w:szCs w:val="18"/>
                    </w:rPr>
                    <w:t>注</w:t>
                  </w:r>
                  <w:r>
                    <w:rPr>
                      <w:b/>
                      <w:sz w:val="18"/>
                      <w:szCs w:val="18"/>
                      <w:vertAlign w:val="superscript"/>
                    </w:rPr>
                    <w:t>*</w:t>
                  </w:r>
                  <w:r>
                    <w:rPr>
                      <w:rFonts w:ascii="宋体" w:hAnsi="宋体"/>
                      <w:b/>
                      <w:sz w:val="18"/>
                      <w:szCs w:val="18"/>
                    </w:rPr>
                    <w:t>：最大排放浓度为吸附、脱附同时工作时的排放浓度。</w:t>
                  </w:r>
                </w:p>
              </w:tc>
            </w:tr>
          </w:tbl>
          <w:p w14:paraId="079FA9B3">
            <w:pPr>
              <w:pStyle w:val="28"/>
              <w:ind w:firstLine="480"/>
            </w:pPr>
            <w:r>
              <w:t>由上表可知，本项目</w:t>
            </w:r>
            <w:r>
              <w:rPr>
                <w:rFonts w:hint="eastAsia"/>
              </w:rPr>
              <w:t>熔融挤出工序产生的</w:t>
            </w:r>
            <w:r>
              <w:t>非甲烷总烃经处理后排放浓度满足</w:t>
            </w:r>
            <w:r>
              <w:rPr>
                <w:rFonts w:hint="eastAsia"/>
              </w:rPr>
              <w:t>《合成树脂工业污染物排放标准》（GB 31572-2015）含2024年修改单中表5非甲烷总烃有组织排放浓度60mg/m</w:t>
            </w:r>
            <w:r>
              <w:rPr>
                <w:rFonts w:hint="eastAsia"/>
                <w:vertAlign w:val="superscript"/>
              </w:rPr>
              <w:t>3</w:t>
            </w:r>
            <w:r>
              <w:rPr>
                <w:rFonts w:hint="eastAsia"/>
              </w:rPr>
              <w:t>的限值要求，同时满足《河南省重污染天气重点行业应急减排措施制定技术指南（2024年修订版）》塑料制品行业A级非甲烷总烃有组织排放浓度20mg/m</w:t>
            </w:r>
            <w:r>
              <w:rPr>
                <w:rFonts w:hint="eastAsia"/>
                <w:vertAlign w:val="superscript"/>
              </w:rPr>
              <w:t>3</w:t>
            </w:r>
            <w:r>
              <w:rPr>
                <w:rFonts w:hint="eastAsia"/>
              </w:rPr>
              <w:t>的限值要求和河南省环境污染防治攻坚领导小组办公室文件《关于全省开展工业企业挥发性有机物专项治理工作中排放建议限值的通知》（豫环攻坚办（2017）162号）中附件1：其他行业有机废气排放口非甲烷总烃</w:t>
            </w:r>
            <w:r>
              <w:rPr>
                <w:rFonts w:hint="eastAsia" w:ascii="宋体" w:hAnsi="宋体"/>
                <w:bCs/>
              </w:rPr>
              <w:t>建议</w:t>
            </w:r>
            <w:r>
              <w:rPr>
                <w:rFonts w:ascii="宋体" w:hAnsi="宋体"/>
                <w:bCs/>
              </w:rPr>
              <w:t>去除效率</w:t>
            </w:r>
            <w:r>
              <w:rPr>
                <w:rFonts w:hint="eastAsia"/>
              </w:rPr>
              <w:t>≥70%的要求。</w:t>
            </w:r>
          </w:p>
          <w:p w14:paraId="025D8260">
            <w:pPr>
              <w:spacing w:line="460" w:lineRule="exact"/>
              <w:ind w:firstLine="482" w:firstLineChars="200"/>
              <w:jc w:val="left"/>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2、无组织废气</w:t>
            </w:r>
          </w:p>
          <w:p w14:paraId="585F5B70">
            <w:pPr>
              <w:pStyle w:val="28"/>
              <w:ind w:firstLine="480"/>
            </w:pPr>
            <w:r>
              <w:rPr>
                <w:rFonts w:hint="eastAsia"/>
              </w:rPr>
              <w:t>本项目无组织废气主要是熔融挤出工序未被收集的非甲烷总烃。</w:t>
            </w:r>
          </w:p>
          <w:p w14:paraId="0CD8645D">
            <w:pPr>
              <w:pStyle w:val="28"/>
              <w:ind w:firstLine="480"/>
              <w:rPr>
                <w:rFonts w:hint="eastAsia" w:ascii="宋体" w:hAnsi="宋体" w:cs="宋体"/>
                <w:bCs/>
              </w:rPr>
            </w:pPr>
            <w:r>
              <w:rPr>
                <w:rFonts w:hint="eastAsia"/>
              </w:rPr>
              <w:t>根据前文分析可知，本项目熔融挤出工序收集效率为</w:t>
            </w:r>
            <w:r>
              <w:t>90</w:t>
            </w:r>
            <w:r>
              <w:rPr>
                <w:rFonts w:hint="eastAsia"/>
              </w:rPr>
              <w:t>%，则未被收集的非甲烷总烃产生量为</w:t>
            </w:r>
            <w:r>
              <w:t>0.0707</w:t>
            </w:r>
            <w:r>
              <w:rPr>
                <w:rFonts w:hint="eastAsia"/>
              </w:rPr>
              <w:t>t/a、产生速率为</w:t>
            </w:r>
            <w:r>
              <w:t>0.0098</w:t>
            </w:r>
            <w:r>
              <w:rPr>
                <w:rFonts w:hint="eastAsia"/>
              </w:rPr>
              <w:t>kg/h，未被收集的非甲烷总烃全部以无组织形式散失，即熔融挤出工序未被收集的非甲烷总烃排放量为</w:t>
            </w:r>
            <w:r>
              <w:t>0.0707</w:t>
            </w:r>
            <w:r>
              <w:rPr>
                <w:rFonts w:hint="eastAsia"/>
              </w:rPr>
              <w:t>t/a、排放速率为</w:t>
            </w:r>
            <w:r>
              <w:t>0.0098</w:t>
            </w:r>
            <w:r>
              <w:rPr>
                <w:rFonts w:hint="eastAsia"/>
              </w:rPr>
              <w:t>kg/h。</w:t>
            </w:r>
          </w:p>
          <w:p w14:paraId="5B269D38">
            <w:pPr>
              <w:pStyle w:val="28"/>
              <w:ind w:firstLine="480"/>
            </w:pPr>
            <w:r>
              <w:t>评价提出要求企业加强设备密闭，保证废气收集效率，尽量减少无组织排放，保证</w:t>
            </w:r>
            <w:r>
              <w:rPr>
                <w:rFonts w:hint="eastAsia"/>
              </w:rPr>
              <w:t>非甲烷总烃无组织排放浓度能够满足《关于全省开展工业企业挥发性有机物专项治理工作中排放建议值的通知》（豫环攻坚办</w:t>
            </w:r>
            <w:r>
              <w:rPr>
                <w:rFonts w:hint="eastAsia" w:ascii="宋体" w:hAnsi="宋体"/>
              </w:rPr>
              <w:t>〔</w:t>
            </w:r>
            <w:r>
              <w:t>2017</w:t>
            </w:r>
            <w:r>
              <w:rPr>
                <w:rFonts w:hint="eastAsia" w:ascii="宋体" w:hAnsi="宋体"/>
              </w:rPr>
              <w:t>〕</w:t>
            </w:r>
            <w:r>
              <w:t>162</w:t>
            </w:r>
            <w:r>
              <w:rPr>
                <w:rFonts w:hint="eastAsia"/>
              </w:rPr>
              <w:t>号）中附件二 工业企业边界挥发性有机物排放建议值非甲烷总烃（其他企业）</w:t>
            </w:r>
            <w:r>
              <w:t>2</w:t>
            </w:r>
            <w:r>
              <w:rPr>
                <w:rFonts w:hint="eastAsia"/>
              </w:rPr>
              <w:t>.</w:t>
            </w:r>
            <w:r>
              <w:t>0mg</w:t>
            </w:r>
            <w:r>
              <w:rPr>
                <w:rFonts w:hint="eastAsia"/>
              </w:rPr>
              <w:t>/</w:t>
            </w:r>
            <w:r>
              <w:t>m</w:t>
            </w:r>
            <w:r>
              <w:rPr>
                <w:vertAlign w:val="superscript"/>
              </w:rPr>
              <w:t>3</w:t>
            </w:r>
            <w:r>
              <w:rPr>
                <w:rFonts w:hint="eastAsia"/>
              </w:rPr>
              <w:t>的</w:t>
            </w:r>
            <w:r>
              <w:t>限值要求。</w:t>
            </w:r>
          </w:p>
          <w:p w14:paraId="736A4CBA">
            <w:pPr>
              <w:spacing w:line="480" w:lineRule="exact"/>
              <w:ind w:firstLine="482" w:firstLineChars="200"/>
              <w:jc w:val="left"/>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3、非正常排放分析</w:t>
            </w:r>
          </w:p>
          <w:p w14:paraId="36542F5B">
            <w:pPr>
              <w:pStyle w:val="28"/>
              <w:ind w:firstLine="480"/>
              <w:rPr>
                <w:lang w:val="zh-CN"/>
              </w:rPr>
            </w:pPr>
            <w:r>
              <w:rPr>
                <w:lang w:val="zh-CN"/>
              </w:rPr>
              <w:t>项目</w:t>
            </w:r>
            <w:r>
              <w:rPr>
                <w:rFonts w:hint="eastAsia"/>
                <w:lang w:val="zh-CN"/>
              </w:rPr>
              <w:t>生产</w:t>
            </w:r>
            <w:r>
              <w:rPr>
                <w:lang w:val="zh-CN"/>
              </w:rPr>
              <w:t>过程中产生的非正常排放主要是污染物排放控制措施达不到应有效率时引起的污染物超标排放，评价以最不利原则按照污染物治理措施处理效率为0时的情况进行分析</w:t>
            </w:r>
            <w:r>
              <w:rPr>
                <w:rFonts w:hint="eastAsia"/>
                <w:lang w:val="zh-CN"/>
              </w:rPr>
              <w:t>，本项目</w:t>
            </w:r>
            <w:r>
              <w:rPr>
                <w:lang w:val="zh-CN"/>
              </w:rPr>
              <w:t>事故排放时间最大为15分钟。</w:t>
            </w:r>
          </w:p>
          <w:p w14:paraId="500E5E2D">
            <w:pPr>
              <w:pStyle w:val="28"/>
              <w:ind w:firstLine="480"/>
              <w:rPr>
                <w:lang w:val="zh-CN"/>
              </w:rPr>
            </w:pPr>
            <w:r>
              <w:rPr>
                <w:lang w:val="zh-CN"/>
              </w:rPr>
              <w:t>非正常排放具体参数见下表</w:t>
            </w:r>
            <w:r>
              <w:rPr>
                <w:rFonts w:hint="eastAsia"/>
                <w:lang w:val="zh-CN"/>
              </w:rPr>
              <w:t>：</w:t>
            </w:r>
          </w:p>
          <w:p w14:paraId="523FBFAF">
            <w:pPr>
              <w:pStyle w:val="67"/>
              <w:ind w:firstLine="480"/>
            </w:pPr>
            <w:r>
              <w:t xml:space="preserve">                非正常排放参数表</w:t>
            </w:r>
          </w:p>
          <w:tbl>
            <w:tblPr>
              <w:tblStyle w:val="20"/>
              <w:tblpPr w:leftFromText="180" w:rightFromText="180" w:vertAnchor="text" w:tblpXSpec="center" w:tblpY="1"/>
              <w:tblOverlap w:val="never"/>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42"/>
              <w:gridCol w:w="1471"/>
              <w:gridCol w:w="710"/>
              <w:gridCol w:w="1133"/>
              <w:gridCol w:w="993"/>
              <w:gridCol w:w="851"/>
              <w:gridCol w:w="1131"/>
              <w:gridCol w:w="1328"/>
            </w:tblGrid>
            <w:tr w14:paraId="397D9D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pct"/>
                  <w:vAlign w:val="center"/>
                </w:tcPr>
                <w:p w14:paraId="72A98685">
                  <w:pPr>
                    <w:pStyle w:val="86"/>
                    <w:rPr>
                      <w:b/>
                      <w:bCs w:val="0"/>
                      <w:lang w:val="zh-CN"/>
                    </w:rPr>
                  </w:pPr>
                  <w:r>
                    <w:rPr>
                      <w:b/>
                      <w:bCs w:val="0"/>
                      <w:lang w:val="zh-CN"/>
                    </w:rPr>
                    <w:t>非正常排放源</w:t>
                  </w:r>
                </w:p>
              </w:tc>
              <w:tc>
                <w:tcPr>
                  <w:tcW w:w="859" w:type="pct"/>
                  <w:vAlign w:val="center"/>
                </w:tcPr>
                <w:p w14:paraId="6C9A965F">
                  <w:pPr>
                    <w:pStyle w:val="86"/>
                    <w:rPr>
                      <w:b/>
                      <w:bCs w:val="0"/>
                      <w:lang w:val="zh-CN"/>
                    </w:rPr>
                  </w:pPr>
                  <w:r>
                    <w:rPr>
                      <w:b/>
                      <w:bCs w:val="0"/>
                      <w:lang w:val="zh-CN"/>
                    </w:rPr>
                    <w:t>非正常排放原因</w:t>
                  </w:r>
                </w:p>
              </w:tc>
              <w:tc>
                <w:tcPr>
                  <w:tcW w:w="414" w:type="pct"/>
                  <w:vAlign w:val="center"/>
                </w:tcPr>
                <w:p w14:paraId="0187B6AC">
                  <w:pPr>
                    <w:pStyle w:val="86"/>
                    <w:rPr>
                      <w:b/>
                      <w:bCs w:val="0"/>
                      <w:lang w:val="zh-CN"/>
                    </w:rPr>
                  </w:pPr>
                  <w:r>
                    <w:rPr>
                      <w:b/>
                      <w:bCs w:val="0"/>
                      <w:lang w:val="zh-CN"/>
                    </w:rPr>
                    <w:t>污染物</w:t>
                  </w:r>
                </w:p>
              </w:tc>
              <w:tc>
                <w:tcPr>
                  <w:tcW w:w="662" w:type="pct"/>
                  <w:vAlign w:val="center"/>
                </w:tcPr>
                <w:p w14:paraId="4E779736">
                  <w:pPr>
                    <w:pStyle w:val="86"/>
                    <w:rPr>
                      <w:b/>
                      <w:bCs w:val="0"/>
                      <w:lang w:val="zh-CN"/>
                    </w:rPr>
                  </w:pPr>
                  <w:r>
                    <w:rPr>
                      <w:b/>
                      <w:bCs w:val="0"/>
                      <w:lang w:val="zh-CN"/>
                    </w:rPr>
                    <w:t>非正常排放速率/（kg/h）</w:t>
                  </w:r>
                </w:p>
              </w:tc>
              <w:tc>
                <w:tcPr>
                  <w:tcW w:w="580" w:type="pct"/>
                  <w:vAlign w:val="center"/>
                </w:tcPr>
                <w:p w14:paraId="5CF0CB55">
                  <w:pPr>
                    <w:pStyle w:val="86"/>
                    <w:rPr>
                      <w:b/>
                      <w:bCs w:val="0"/>
                      <w:lang w:val="zh-CN"/>
                    </w:rPr>
                  </w:pPr>
                  <w:r>
                    <w:rPr>
                      <w:b/>
                      <w:bCs w:val="0"/>
                      <w:lang w:val="zh-CN"/>
                    </w:rPr>
                    <w:t>单次持续时间/h</w:t>
                  </w:r>
                </w:p>
              </w:tc>
              <w:tc>
                <w:tcPr>
                  <w:tcW w:w="497" w:type="pct"/>
                  <w:vAlign w:val="center"/>
                </w:tcPr>
                <w:p w14:paraId="1CB56395">
                  <w:pPr>
                    <w:pStyle w:val="86"/>
                    <w:rPr>
                      <w:b/>
                      <w:bCs w:val="0"/>
                      <w:lang w:val="zh-CN"/>
                    </w:rPr>
                  </w:pPr>
                  <w:r>
                    <w:rPr>
                      <w:b/>
                      <w:bCs w:val="0"/>
                      <w:lang w:val="zh-CN"/>
                    </w:rPr>
                    <w:t>年发生频次/次</w:t>
                  </w:r>
                </w:p>
              </w:tc>
              <w:tc>
                <w:tcPr>
                  <w:tcW w:w="661" w:type="pct"/>
                  <w:vAlign w:val="center"/>
                </w:tcPr>
                <w:p w14:paraId="75BA0D96">
                  <w:pPr>
                    <w:pStyle w:val="86"/>
                    <w:rPr>
                      <w:b/>
                      <w:bCs w:val="0"/>
                      <w:lang w:val="zh-CN"/>
                    </w:rPr>
                  </w:pPr>
                  <w:r>
                    <w:rPr>
                      <w:b/>
                      <w:bCs w:val="0"/>
                      <w:lang w:val="zh-CN"/>
                    </w:rPr>
                    <w:t>非正常排放量/（kg/a）</w:t>
                  </w:r>
                </w:p>
              </w:tc>
              <w:tc>
                <w:tcPr>
                  <w:tcW w:w="776" w:type="pct"/>
                  <w:vAlign w:val="center"/>
                </w:tcPr>
                <w:p w14:paraId="7DA8381D">
                  <w:pPr>
                    <w:pStyle w:val="86"/>
                    <w:rPr>
                      <w:b/>
                      <w:bCs w:val="0"/>
                      <w:lang w:val="zh-CN"/>
                    </w:rPr>
                  </w:pPr>
                  <w:r>
                    <w:rPr>
                      <w:b/>
                      <w:bCs w:val="0"/>
                      <w:lang w:val="zh-CN"/>
                    </w:rPr>
                    <w:t>采取措施</w:t>
                  </w:r>
                </w:p>
              </w:tc>
            </w:tr>
            <w:tr w14:paraId="44B7C5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50" w:type="pct"/>
                  <w:vAlign w:val="center"/>
                </w:tcPr>
                <w:p w14:paraId="6EA284DE">
                  <w:pPr>
                    <w:pStyle w:val="86"/>
                  </w:pPr>
                  <w:r>
                    <w:rPr>
                      <w:rFonts w:hint="eastAsia"/>
                    </w:rPr>
                    <w:t>DA00</w:t>
                  </w:r>
                  <w:r>
                    <w:t>2</w:t>
                  </w:r>
                </w:p>
              </w:tc>
              <w:tc>
                <w:tcPr>
                  <w:tcW w:w="859" w:type="pct"/>
                  <w:vAlign w:val="center"/>
                </w:tcPr>
                <w:p w14:paraId="6BD03C38">
                  <w:pPr>
                    <w:pStyle w:val="86"/>
                    <w:rPr>
                      <w:lang w:val="zh-CN"/>
                    </w:rPr>
                  </w:pPr>
                  <w:r>
                    <w:rPr>
                      <w:lang w:val="zh-CN"/>
                    </w:rPr>
                    <w:t>污染物排放控制措施达不到应有效率，处理效率为0</w:t>
                  </w:r>
                </w:p>
              </w:tc>
              <w:tc>
                <w:tcPr>
                  <w:tcW w:w="414" w:type="pct"/>
                  <w:vAlign w:val="center"/>
                </w:tcPr>
                <w:p w14:paraId="2EA32F0D">
                  <w:pPr>
                    <w:pStyle w:val="86"/>
                    <w:rPr>
                      <w:lang w:val="zh-CN"/>
                    </w:rPr>
                  </w:pPr>
                  <w:r>
                    <w:rPr>
                      <w:rFonts w:hint="eastAsia"/>
                      <w:lang w:val="zh-CN"/>
                    </w:rPr>
                    <w:t>非甲烷总烃</w:t>
                  </w:r>
                </w:p>
              </w:tc>
              <w:tc>
                <w:tcPr>
                  <w:tcW w:w="662" w:type="pct"/>
                  <w:vAlign w:val="center"/>
                </w:tcPr>
                <w:p w14:paraId="4550BF31">
                  <w:pPr>
                    <w:pStyle w:val="86"/>
                  </w:pPr>
                  <w:r>
                    <w:t>0.0884</w:t>
                  </w:r>
                </w:p>
              </w:tc>
              <w:tc>
                <w:tcPr>
                  <w:tcW w:w="580" w:type="pct"/>
                  <w:vAlign w:val="center"/>
                </w:tcPr>
                <w:p w14:paraId="45C3A0DA">
                  <w:pPr>
                    <w:pStyle w:val="86"/>
                    <w:rPr>
                      <w:lang w:val="zh-CN"/>
                    </w:rPr>
                  </w:pPr>
                  <w:r>
                    <w:rPr>
                      <w:lang w:val="zh-CN"/>
                    </w:rPr>
                    <w:t>0.25</w:t>
                  </w:r>
                </w:p>
              </w:tc>
              <w:tc>
                <w:tcPr>
                  <w:tcW w:w="497" w:type="pct"/>
                  <w:vAlign w:val="center"/>
                </w:tcPr>
                <w:p w14:paraId="7CFEB42B">
                  <w:pPr>
                    <w:pStyle w:val="86"/>
                    <w:rPr>
                      <w:lang w:val="zh-CN"/>
                    </w:rPr>
                  </w:pPr>
                  <w:r>
                    <w:rPr>
                      <w:lang w:val="zh-CN"/>
                    </w:rPr>
                    <w:t>1</w:t>
                  </w:r>
                </w:p>
              </w:tc>
              <w:tc>
                <w:tcPr>
                  <w:tcW w:w="661" w:type="pct"/>
                  <w:vAlign w:val="center"/>
                </w:tcPr>
                <w:p w14:paraId="5252C1D1">
                  <w:pPr>
                    <w:pStyle w:val="86"/>
                  </w:pPr>
                  <w:r>
                    <w:t>0.0221</w:t>
                  </w:r>
                  <w:r>
                    <w:rPr>
                      <w:rFonts w:hint="eastAsia"/>
                    </w:rPr>
                    <w:t xml:space="preserve"> </w:t>
                  </w:r>
                </w:p>
              </w:tc>
              <w:tc>
                <w:tcPr>
                  <w:tcW w:w="776" w:type="pct"/>
                  <w:vAlign w:val="center"/>
                </w:tcPr>
                <w:p w14:paraId="4BE253DB">
                  <w:pPr>
                    <w:pStyle w:val="86"/>
                    <w:rPr>
                      <w:lang w:val="zh-CN"/>
                    </w:rPr>
                  </w:pPr>
                  <w:r>
                    <w:rPr>
                      <w:lang w:val="zh-CN"/>
                    </w:rPr>
                    <w:t>产生废气的工序及时停止运行</w:t>
                  </w:r>
                  <w:r>
                    <w:rPr>
                      <w:rFonts w:hint="eastAsia"/>
                      <w:lang w:val="zh-CN"/>
                    </w:rPr>
                    <w:t>，并对装置进行检修</w:t>
                  </w:r>
                </w:p>
              </w:tc>
            </w:tr>
          </w:tbl>
          <w:p w14:paraId="521DAF0C">
            <w:pPr>
              <w:spacing w:line="460" w:lineRule="exact"/>
              <w:ind w:firstLine="482"/>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b/>
                <w:bCs/>
                <w:color w:val="000000" w:themeColor="text1"/>
                <w:sz w:val="24"/>
                <w:lang w:val="zh-CN"/>
                <w14:textFill>
                  <w14:solidFill>
                    <w14:schemeClr w14:val="tx1"/>
                  </w14:solidFill>
                </w14:textFill>
              </w:rPr>
              <w:t>、</w:t>
            </w:r>
            <w:r>
              <w:rPr>
                <w:rFonts w:hint="eastAsia"/>
                <w:b/>
                <w:bCs/>
                <w:color w:val="000000" w:themeColor="text1"/>
                <w:sz w:val="24"/>
                <w:lang w:val="zh-CN"/>
                <w14:textFill>
                  <w14:solidFill>
                    <w14:schemeClr w14:val="tx1"/>
                  </w14:solidFill>
                </w14:textFill>
              </w:rPr>
              <w:t>大气污染防治措施</w:t>
            </w:r>
            <w:r>
              <w:rPr>
                <w:b/>
                <w:bCs/>
                <w:color w:val="000000" w:themeColor="text1"/>
                <w:sz w:val="24"/>
                <w:lang w:val="zh-CN"/>
                <w14:textFill>
                  <w14:solidFill>
                    <w14:schemeClr w14:val="tx1"/>
                  </w14:solidFill>
                </w14:textFill>
              </w:rPr>
              <w:t>分析</w:t>
            </w:r>
          </w:p>
          <w:p w14:paraId="29476E24">
            <w:pPr>
              <w:pStyle w:val="28"/>
              <w:ind w:firstLine="480"/>
              <w:rPr>
                <w:lang w:val="zh-CN"/>
              </w:rPr>
            </w:pPr>
            <w:r>
              <w:rPr>
                <w:rFonts w:hint="eastAsia"/>
                <w:lang w:val="zh-CN"/>
              </w:rPr>
              <w:t>根据《排污许可证申请与核发技术规范  橡胶和塑料制品业》（HJ1122-2020）“第二部分 塑料制品工业”表2塑料零件及其他塑料制品制造规定：“混料废气、挥发废气采用除尘、喷淋、吸附、热力燃烧、催化燃烧、低温等离子体、UV光氧化/光催化、生物法以上组合技术”。本项目熔融挤出工序产生的非甲烷总烃采用工业高压静电油烟净化装置+活性炭吸附/脱附-催化燃烧装置处理为可行技术。</w:t>
            </w:r>
          </w:p>
          <w:p w14:paraId="130A4E7E">
            <w:pPr>
              <w:adjustRightInd w:val="0"/>
              <w:snapToGrid w:val="0"/>
              <w:spacing w:line="46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w:t>
            </w:r>
            <w:r>
              <w:rPr>
                <w:rFonts w:hint="eastAsia"/>
                <w:b/>
                <w:color w:val="000000" w:themeColor="text1"/>
                <w:sz w:val="24"/>
                <w14:textFill>
                  <w14:solidFill>
                    <w14:schemeClr w14:val="tx1"/>
                  </w14:solidFill>
                </w14:textFill>
              </w:rPr>
              <w:t>、大气环境影响分析</w:t>
            </w:r>
          </w:p>
          <w:p w14:paraId="0D71F0A6">
            <w:pPr>
              <w:pStyle w:val="28"/>
              <w:ind w:firstLine="480"/>
              <w:rPr>
                <w:bCs/>
              </w:rPr>
            </w:pPr>
            <w:r>
              <w:rPr>
                <w:rFonts w:hint="eastAsia"/>
                <w:bCs/>
              </w:rPr>
              <w:t>项目所在区域属于空气环境质量未达标区，</w:t>
            </w:r>
            <w:r>
              <w:rPr>
                <w:rFonts w:hint="eastAsia"/>
                <w:bCs/>
                <w:spacing w:val="-10"/>
              </w:rPr>
              <w:t>项目产生的大气污染物通过削减区域现有污染源排放量进行替代</w:t>
            </w:r>
            <w:r>
              <w:rPr>
                <w:rFonts w:hint="eastAsia"/>
                <w:bCs/>
              </w:rPr>
              <w:t>。本项目大气污染物非甲烷总烃经处理后能够满足《合成树脂工业污染物排放标准》（GB31572-2015）</w:t>
            </w:r>
            <w:r>
              <w:rPr>
                <w:rFonts w:hint="eastAsia"/>
              </w:rPr>
              <w:t>含2024年修改单</w:t>
            </w:r>
            <w:r>
              <w:rPr>
                <w:rFonts w:hint="eastAsia"/>
                <w:bCs/>
              </w:rPr>
              <w:t>表5要求（非甲烷总烃60mg/m</w:t>
            </w:r>
            <w:r>
              <w:rPr>
                <w:rFonts w:hint="eastAsia"/>
                <w:bCs/>
                <w:vertAlign w:val="superscript"/>
              </w:rPr>
              <w:t>3</w:t>
            </w:r>
            <w:r>
              <w:rPr>
                <w:rFonts w:hint="eastAsia"/>
                <w:bCs/>
              </w:rPr>
              <w:t>），满足《关于全省开展工业企业挥发性有机物专项治理工作中排放建议值的通知》（豫环攻坚办（2017）162号）中其他行业有机废气排放口去除效率≥70%的限值要求，同时满足《河南省重污染天气重点行业应急减排措施制定技术指南（2024年修订版）》中塑料制品行业A级非甲烷总烃有组织排放浓度20mg/m</w:t>
            </w:r>
            <w:r>
              <w:rPr>
                <w:rFonts w:hint="eastAsia"/>
                <w:bCs/>
                <w:vertAlign w:val="superscript"/>
              </w:rPr>
              <w:t>3</w:t>
            </w:r>
            <w:r>
              <w:rPr>
                <w:rFonts w:hint="eastAsia"/>
                <w:bCs/>
              </w:rPr>
              <w:t>的限值要求。通过区域削减和污染物扩散，不会对周边环境造成明显影响。</w:t>
            </w:r>
          </w:p>
          <w:p w14:paraId="6729BE9C">
            <w:pPr>
              <w:pStyle w:val="28"/>
              <w:ind w:firstLine="480"/>
              <w:rPr>
                <w:bCs/>
              </w:rPr>
            </w:pPr>
            <w:r>
              <w:rPr>
                <w:rFonts w:hint="eastAsia"/>
                <w:bCs/>
              </w:rPr>
              <w:t>综上所述，评价认为项目建成运行过程中对周边大气环境影响可以接受。</w:t>
            </w:r>
          </w:p>
          <w:p w14:paraId="47824A40">
            <w:pPr>
              <w:pStyle w:val="28"/>
              <w:ind w:firstLine="482"/>
              <w:rPr>
                <w:b/>
                <w:bCs/>
                <w:lang w:val="zh-CN"/>
              </w:rPr>
            </w:pPr>
            <w:r>
              <w:rPr>
                <w:b/>
                <w:bCs/>
                <w:lang w:val="zh-CN"/>
              </w:rPr>
              <w:t>6、废气污染物排放核算量</w:t>
            </w:r>
          </w:p>
          <w:p w14:paraId="6C676272">
            <w:pPr>
              <w:pStyle w:val="28"/>
              <w:ind w:firstLine="480"/>
              <w:rPr>
                <w:lang w:val="zh-CN"/>
              </w:rPr>
            </w:pPr>
            <w:r>
              <w:rPr>
                <w:lang w:val="zh-CN"/>
              </w:rPr>
              <w:t>6.1大气污染物有组织排放核算</w:t>
            </w:r>
          </w:p>
          <w:p w14:paraId="5538B084">
            <w:pPr>
              <w:pStyle w:val="67"/>
              <w:ind w:firstLine="480"/>
              <w:rPr>
                <w:lang w:val="zh-CN"/>
              </w:rPr>
            </w:pPr>
            <w:r>
              <w:rPr>
                <w:lang w:val="zh-CN"/>
              </w:rPr>
              <w:t xml:space="preserve">         </w:t>
            </w:r>
            <w:r>
              <w:rPr>
                <w:rFonts w:hint="eastAsia"/>
                <w:lang w:val="zh-CN"/>
              </w:rPr>
              <w:t>本项目</w:t>
            </w:r>
            <w:r>
              <w:rPr>
                <w:lang w:val="zh-CN"/>
              </w:rPr>
              <w:t>大气污染物有组织排放量核算表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8"/>
              <w:gridCol w:w="1877"/>
              <w:gridCol w:w="1264"/>
              <w:gridCol w:w="1593"/>
              <w:gridCol w:w="1595"/>
              <w:gridCol w:w="1572"/>
            </w:tblGrid>
            <w:tr w14:paraId="202FE0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8" w:type="dxa"/>
                  <w:vAlign w:val="center"/>
                </w:tcPr>
                <w:p w14:paraId="7AD89097">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序号</w:t>
                  </w:r>
                </w:p>
              </w:tc>
              <w:tc>
                <w:tcPr>
                  <w:tcW w:w="1877" w:type="dxa"/>
                  <w:vAlign w:val="center"/>
                </w:tcPr>
                <w:p w14:paraId="612FEC7C">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排放口编号</w:t>
                  </w:r>
                </w:p>
              </w:tc>
              <w:tc>
                <w:tcPr>
                  <w:tcW w:w="1264" w:type="dxa"/>
                  <w:vAlign w:val="center"/>
                </w:tcPr>
                <w:p w14:paraId="0690462A">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污染物</w:t>
                  </w:r>
                </w:p>
              </w:tc>
              <w:tc>
                <w:tcPr>
                  <w:tcW w:w="1593" w:type="dxa"/>
                  <w:vAlign w:val="center"/>
                </w:tcPr>
                <w:p w14:paraId="67E0690F">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核算排放浓度/（mg/m</w:t>
                  </w:r>
                  <w:r>
                    <w:rPr>
                      <w:b/>
                      <w:color w:val="000000" w:themeColor="text1"/>
                      <w:szCs w:val="21"/>
                      <w:vertAlign w:val="superscript"/>
                      <w:lang w:val="zh-CN"/>
                      <w14:textFill>
                        <w14:solidFill>
                          <w14:schemeClr w14:val="tx1"/>
                        </w14:solidFill>
                      </w14:textFill>
                    </w:rPr>
                    <w:t>3</w:t>
                  </w:r>
                  <w:r>
                    <w:rPr>
                      <w:b/>
                      <w:color w:val="000000" w:themeColor="text1"/>
                      <w:szCs w:val="21"/>
                      <w:lang w:val="zh-CN"/>
                      <w14:textFill>
                        <w14:solidFill>
                          <w14:schemeClr w14:val="tx1"/>
                        </w14:solidFill>
                      </w14:textFill>
                    </w:rPr>
                    <w:t>）</w:t>
                  </w:r>
                </w:p>
              </w:tc>
              <w:tc>
                <w:tcPr>
                  <w:tcW w:w="1595" w:type="dxa"/>
                  <w:vAlign w:val="center"/>
                </w:tcPr>
                <w:p w14:paraId="272B604F">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核算排放速率/</w:t>
                  </w:r>
                </w:p>
                <w:p w14:paraId="461A73D7">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（kg/h）</w:t>
                  </w:r>
                </w:p>
              </w:tc>
              <w:tc>
                <w:tcPr>
                  <w:tcW w:w="1572" w:type="dxa"/>
                  <w:vAlign w:val="center"/>
                </w:tcPr>
                <w:p w14:paraId="0B037F1B">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核算</w:t>
                  </w:r>
                  <w:r>
                    <w:rPr>
                      <w:rFonts w:hint="eastAsia"/>
                      <w:b/>
                      <w:color w:val="000000" w:themeColor="text1"/>
                      <w:szCs w:val="21"/>
                      <w:lang w:val="zh-CN"/>
                      <w14:textFill>
                        <w14:solidFill>
                          <w14:schemeClr w14:val="tx1"/>
                        </w14:solidFill>
                      </w14:textFill>
                    </w:rPr>
                    <w:t>年</w:t>
                  </w:r>
                  <w:r>
                    <w:rPr>
                      <w:b/>
                      <w:color w:val="000000" w:themeColor="text1"/>
                      <w:szCs w:val="21"/>
                      <w:lang w:val="zh-CN"/>
                      <w14:textFill>
                        <w14:solidFill>
                          <w14:schemeClr w14:val="tx1"/>
                        </w14:solidFill>
                      </w14:textFill>
                    </w:rPr>
                    <w:t>排放</w:t>
                  </w:r>
                  <w:r>
                    <w:rPr>
                      <w:rFonts w:hint="eastAsia"/>
                      <w:b/>
                      <w:color w:val="000000" w:themeColor="text1"/>
                      <w:szCs w:val="21"/>
                      <w:lang w:val="zh-CN"/>
                      <w14:textFill>
                        <w14:solidFill>
                          <w14:schemeClr w14:val="tx1"/>
                        </w14:solidFill>
                      </w14:textFill>
                    </w:rPr>
                    <w:t>量</w:t>
                  </w:r>
                  <w:r>
                    <w:rPr>
                      <w:b/>
                      <w:color w:val="000000" w:themeColor="text1"/>
                      <w:szCs w:val="21"/>
                      <w:lang w:val="zh-CN"/>
                      <w14:textFill>
                        <w14:solidFill>
                          <w14:schemeClr w14:val="tx1"/>
                        </w14:solidFill>
                      </w14:textFill>
                    </w:rPr>
                    <w:t>/（</w:t>
                  </w:r>
                  <w:r>
                    <w:rPr>
                      <w:rFonts w:hint="eastAsia"/>
                      <w:b/>
                      <w:color w:val="000000" w:themeColor="text1"/>
                      <w:szCs w:val="21"/>
                      <w:lang w:val="zh-CN"/>
                      <w14:textFill>
                        <w14:solidFill>
                          <w14:schemeClr w14:val="tx1"/>
                        </w14:solidFill>
                      </w14:textFill>
                    </w:rPr>
                    <w:t>t/a</w:t>
                  </w:r>
                  <w:r>
                    <w:rPr>
                      <w:b/>
                      <w:color w:val="000000" w:themeColor="text1"/>
                      <w:szCs w:val="21"/>
                      <w:lang w:val="zh-CN"/>
                      <w14:textFill>
                        <w14:solidFill>
                          <w14:schemeClr w14:val="tx1"/>
                        </w14:solidFill>
                      </w14:textFill>
                    </w:rPr>
                    <w:t>）</w:t>
                  </w:r>
                </w:p>
              </w:tc>
            </w:tr>
            <w:tr w14:paraId="2B8577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8" w:type="dxa"/>
                  <w:vAlign w:val="center"/>
                </w:tcPr>
                <w:p w14:paraId="07A284D3">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877" w:type="dxa"/>
                  <w:vAlign w:val="center"/>
                </w:tcPr>
                <w:p w14:paraId="00CE4F20">
                  <w:pPr>
                    <w:autoSpaceDE w:val="0"/>
                    <w:autoSpaceDN w:val="0"/>
                    <w:adjustRightInd w:val="0"/>
                    <w:snapToGrid w:val="0"/>
                    <w:jc w:val="center"/>
                    <w:rPr>
                      <w:color w:val="000000" w:themeColor="text1"/>
                      <w:szCs w:val="21"/>
                      <w14:textFill>
                        <w14:solidFill>
                          <w14:schemeClr w14:val="tx1"/>
                        </w14:solidFill>
                      </w14:textFill>
                    </w:rPr>
                  </w:pPr>
                  <w:r>
                    <w:rPr>
                      <w:rFonts w:hint="eastAsia"/>
                    </w:rPr>
                    <w:t>DA00</w:t>
                  </w:r>
                  <w:r>
                    <w:t>2</w:t>
                  </w:r>
                </w:p>
              </w:tc>
              <w:tc>
                <w:tcPr>
                  <w:tcW w:w="1264" w:type="dxa"/>
                  <w:vAlign w:val="center"/>
                </w:tcPr>
                <w:p w14:paraId="05BE2225">
                  <w:pPr>
                    <w:autoSpaceDE w:val="0"/>
                    <w:autoSpaceDN w:val="0"/>
                    <w:adjustRightInd w:val="0"/>
                    <w:snapToGrid w:val="0"/>
                    <w:jc w:val="center"/>
                    <w:rPr>
                      <w:color w:val="000000" w:themeColor="text1"/>
                      <w:szCs w:val="21"/>
                      <w14:textFill>
                        <w14:solidFill>
                          <w14:schemeClr w14:val="tx1"/>
                        </w14:solidFill>
                      </w14:textFill>
                    </w:rPr>
                  </w:pPr>
                  <w:r>
                    <w:rPr>
                      <w:rFonts w:hint="eastAsia"/>
                      <w:lang w:val="zh-CN"/>
                    </w:rPr>
                    <w:t>非甲烷总烃</w:t>
                  </w:r>
                </w:p>
              </w:tc>
              <w:tc>
                <w:tcPr>
                  <w:tcW w:w="1593" w:type="dxa"/>
                  <w:vAlign w:val="center"/>
                </w:tcPr>
                <w:p w14:paraId="6A309CAA">
                  <w:pPr>
                    <w:pStyle w:val="86"/>
                    <w:rPr>
                      <w:szCs w:val="21"/>
                    </w:rPr>
                  </w:pPr>
                  <w:r>
                    <w:rPr>
                      <w:rFonts w:hint="eastAsia"/>
                    </w:rPr>
                    <w:t xml:space="preserve">5.9 </w:t>
                  </w:r>
                </w:p>
              </w:tc>
              <w:tc>
                <w:tcPr>
                  <w:tcW w:w="1595" w:type="dxa"/>
                  <w:vAlign w:val="center"/>
                </w:tcPr>
                <w:p w14:paraId="65F70612">
                  <w:pPr>
                    <w:pStyle w:val="86"/>
                    <w:rPr>
                      <w:szCs w:val="21"/>
                    </w:rPr>
                  </w:pPr>
                  <w:r>
                    <w:rPr>
                      <w:rFonts w:hint="eastAsia"/>
                    </w:rPr>
                    <w:t xml:space="preserve">0.0356 </w:t>
                  </w:r>
                </w:p>
              </w:tc>
              <w:tc>
                <w:tcPr>
                  <w:tcW w:w="1572" w:type="dxa"/>
                  <w:vAlign w:val="center"/>
                </w:tcPr>
                <w:p w14:paraId="50B0D919">
                  <w:pPr>
                    <w:pStyle w:val="86"/>
                    <w:rPr>
                      <w:szCs w:val="21"/>
                    </w:rPr>
                  </w:pPr>
                  <w:r>
                    <w:rPr>
                      <w:rFonts w:hint="eastAsia"/>
                    </w:rPr>
                    <w:t xml:space="preserve">0.0645 </w:t>
                  </w:r>
                </w:p>
              </w:tc>
            </w:tr>
          </w:tbl>
          <w:p w14:paraId="450DBB44">
            <w:pPr>
              <w:pStyle w:val="28"/>
              <w:ind w:firstLine="480"/>
            </w:pPr>
            <w:r>
              <w:t>6.2</w:t>
            </w:r>
            <w:r>
              <w:rPr>
                <w:lang w:val="zh-CN"/>
              </w:rPr>
              <w:t>大气污染物无组织排放量核算</w:t>
            </w:r>
          </w:p>
          <w:p w14:paraId="3AD5F559">
            <w:pPr>
              <w:pStyle w:val="67"/>
              <w:ind w:firstLine="480"/>
              <w:rPr>
                <w:lang w:val="zh-CN"/>
              </w:rPr>
            </w:pPr>
            <w:r>
              <w:rPr>
                <w:lang w:val="zh-CN"/>
              </w:rPr>
              <w:t xml:space="preserve">            大气污染物无组织排放量核算表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93"/>
              <w:gridCol w:w="744"/>
              <w:gridCol w:w="597"/>
              <w:gridCol w:w="992"/>
              <w:gridCol w:w="992"/>
              <w:gridCol w:w="2544"/>
              <w:gridCol w:w="1124"/>
              <w:gridCol w:w="1073"/>
            </w:tblGrid>
            <w:tr w14:paraId="3B2AB8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493" w:type="dxa"/>
                  <w:vMerge w:val="restart"/>
                  <w:vAlign w:val="center"/>
                </w:tcPr>
                <w:p w14:paraId="3D322269">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序号</w:t>
                  </w:r>
                </w:p>
              </w:tc>
              <w:tc>
                <w:tcPr>
                  <w:tcW w:w="744" w:type="dxa"/>
                  <w:vMerge w:val="restart"/>
                  <w:vAlign w:val="center"/>
                </w:tcPr>
                <w:p w14:paraId="475EF022">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排放口编号</w:t>
                  </w:r>
                </w:p>
              </w:tc>
              <w:tc>
                <w:tcPr>
                  <w:tcW w:w="597" w:type="dxa"/>
                  <w:vMerge w:val="restart"/>
                  <w:vAlign w:val="center"/>
                </w:tcPr>
                <w:p w14:paraId="202F27F6">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产污环节</w:t>
                  </w:r>
                </w:p>
              </w:tc>
              <w:tc>
                <w:tcPr>
                  <w:tcW w:w="992" w:type="dxa"/>
                  <w:vMerge w:val="restart"/>
                  <w:vAlign w:val="center"/>
                </w:tcPr>
                <w:p w14:paraId="4C1CD984">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污染物</w:t>
                  </w:r>
                </w:p>
              </w:tc>
              <w:tc>
                <w:tcPr>
                  <w:tcW w:w="992" w:type="dxa"/>
                  <w:vMerge w:val="restart"/>
                  <w:vAlign w:val="center"/>
                </w:tcPr>
                <w:p w14:paraId="09D16BEE">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主要污染防治措施</w:t>
                  </w:r>
                </w:p>
              </w:tc>
              <w:tc>
                <w:tcPr>
                  <w:tcW w:w="3668" w:type="dxa"/>
                  <w:gridSpan w:val="2"/>
                  <w:vAlign w:val="center"/>
                </w:tcPr>
                <w:p w14:paraId="42264E2C">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排放标准</w:t>
                  </w:r>
                </w:p>
              </w:tc>
              <w:tc>
                <w:tcPr>
                  <w:tcW w:w="1073" w:type="dxa"/>
                  <w:vMerge w:val="restart"/>
                  <w:vAlign w:val="center"/>
                </w:tcPr>
                <w:p w14:paraId="5291B71D">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核算年排放量/（t/a）</w:t>
                  </w:r>
                </w:p>
              </w:tc>
            </w:tr>
            <w:tr w14:paraId="6AC0A1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493" w:type="dxa"/>
                  <w:vMerge w:val="continue"/>
                  <w:vAlign w:val="center"/>
                </w:tcPr>
                <w:p w14:paraId="70E7FAEC">
                  <w:pPr>
                    <w:jc w:val="center"/>
                    <w:rPr>
                      <w:b/>
                      <w:bCs/>
                      <w:color w:val="000000" w:themeColor="text1"/>
                      <w:szCs w:val="21"/>
                      <w:lang w:val="zh-CN"/>
                      <w14:textFill>
                        <w14:solidFill>
                          <w14:schemeClr w14:val="tx1"/>
                        </w14:solidFill>
                      </w14:textFill>
                    </w:rPr>
                  </w:pPr>
                </w:p>
              </w:tc>
              <w:tc>
                <w:tcPr>
                  <w:tcW w:w="744" w:type="dxa"/>
                  <w:vMerge w:val="continue"/>
                  <w:vAlign w:val="center"/>
                </w:tcPr>
                <w:p w14:paraId="0E921D82">
                  <w:pPr>
                    <w:jc w:val="center"/>
                    <w:rPr>
                      <w:b/>
                      <w:bCs/>
                      <w:color w:val="000000" w:themeColor="text1"/>
                      <w:szCs w:val="21"/>
                      <w:lang w:val="zh-CN"/>
                      <w14:textFill>
                        <w14:solidFill>
                          <w14:schemeClr w14:val="tx1"/>
                        </w14:solidFill>
                      </w14:textFill>
                    </w:rPr>
                  </w:pPr>
                </w:p>
              </w:tc>
              <w:tc>
                <w:tcPr>
                  <w:tcW w:w="597" w:type="dxa"/>
                  <w:vMerge w:val="continue"/>
                  <w:vAlign w:val="center"/>
                </w:tcPr>
                <w:p w14:paraId="1682BBC0">
                  <w:pPr>
                    <w:jc w:val="center"/>
                    <w:rPr>
                      <w:b/>
                      <w:bCs/>
                      <w:color w:val="000000" w:themeColor="text1"/>
                      <w:szCs w:val="21"/>
                      <w:lang w:val="zh-CN"/>
                      <w14:textFill>
                        <w14:solidFill>
                          <w14:schemeClr w14:val="tx1"/>
                        </w14:solidFill>
                      </w14:textFill>
                    </w:rPr>
                  </w:pPr>
                </w:p>
              </w:tc>
              <w:tc>
                <w:tcPr>
                  <w:tcW w:w="992" w:type="dxa"/>
                  <w:vMerge w:val="continue"/>
                  <w:vAlign w:val="center"/>
                </w:tcPr>
                <w:p w14:paraId="30697F15">
                  <w:pPr>
                    <w:jc w:val="center"/>
                    <w:rPr>
                      <w:b/>
                      <w:bCs/>
                      <w:color w:val="000000" w:themeColor="text1"/>
                      <w:szCs w:val="21"/>
                      <w:lang w:val="zh-CN"/>
                      <w14:textFill>
                        <w14:solidFill>
                          <w14:schemeClr w14:val="tx1"/>
                        </w14:solidFill>
                      </w14:textFill>
                    </w:rPr>
                  </w:pPr>
                </w:p>
              </w:tc>
              <w:tc>
                <w:tcPr>
                  <w:tcW w:w="992" w:type="dxa"/>
                  <w:vMerge w:val="continue"/>
                  <w:vAlign w:val="center"/>
                </w:tcPr>
                <w:p w14:paraId="5A3D034C">
                  <w:pPr>
                    <w:jc w:val="center"/>
                    <w:rPr>
                      <w:b/>
                      <w:bCs/>
                      <w:color w:val="000000" w:themeColor="text1"/>
                      <w:szCs w:val="21"/>
                      <w:lang w:val="zh-CN"/>
                      <w14:textFill>
                        <w14:solidFill>
                          <w14:schemeClr w14:val="tx1"/>
                        </w14:solidFill>
                      </w14:textFill>
                    </w:rPr>
                  </w:pPr>
                </w:p>
              </w:tc>
              <w:tc>
                <w:tcPr>
                  <w:tcW w:w="2544" w:type="dxa"/>
                  <w:vAlign w:val="center"/>
                </w:tcPr>
                <w:p w14:paraId="71B45D10">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标准名称</w:t>
                  </w:r>
                </w:p>
              </w:tc>
              <w:tc>
                <w:tcPr>
                  <w:tcW w:w="1124" w:type="dxa"/>
                  <w:vAlign w:val="center"/>
                </w:tcPr>
                <w:p w14:paraId="2F632294">
                  <w:pPr>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浓度限制/（mg/m</w:t>
                  </w:r>
                  <w:r>
                    <w:rPr>
                      <w:b/>
                      <w:bCs/>
                      <w:color w:val="000000" w:themeColor="text1"/>
                      <w:szCs w:val="21"/>
                      <w:vertAlign w:val="superscript"/>
                      <w:lang w:val="zh-CN"/>
                      <w14:textFill>
                        <w14:solidFill>
                          <w14:schemeClr w14:val="tx1"/>
                        </w14:solidFill>
                      </w14:textFill>
                    </w:rPr>
                    <w:t>3</w:t>
                  </w:r>
                  <w:r>
                    <w:rPr>
                      <w:b/>
                      <w:bCs/>
                      <w:color w:val="000000" w:themeColor="text1"/>
                      <w:szCs w:val="21"/>
                      <w:lang w:val="zh-CN"/>
                      <w14:textFill>
                        <w14:solidFill>
                          <w14:schemeClr w14:val="tx1"/>
                        </w14:solidFill>
                      </w14:textFill>
                    </w:rPr>
                    <w:t>）</w:t>
                  </w:r>
                </w:p>
              </w:tc>
              <w:tc>
                <w:tcPr>
                  <w:tcW w:w="1073" w:type="dxa"/>
                  <w:vMerge w:val="continue"/>
                  <w:vAlign w:val="center"/>
                </w:tcPr>
                <w:p w14:paraId="093253AC">
                  <w:pPr>
                    <w:jc w:val="center"/>
                    <w:rPr>
                      <w:color w:val="000000" w:themeColor="text1"/>
                      <w:szCs w:val="21"/>
                      <w:lang w:val="zh-CN"/>
                      <w14:textFill>
                        <w14:solidFill>
                          <w14:schemeClr w14:val="tx1"/>
                        </w14:solidFill>
                      </w14:textFill>
                    </w:rPr>
                  </w:pPr>
                </w:p>
              </w:tc>
            </w:tr>
            <w:tr w14:paraId="342299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3" w:type="dxa"/>
                  <w:vAlign w:val="center"/>
                </w:tcPr>
                <w:p w14:paraId="7AEEAEE8">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1</w:t>
                  </w:r>
                </w:p>
              </w:tc>
              <w:tc>
                <w:tcPr>
                  <w:tcW w:w="744" w:type="dxa"/>
                  <w:vAlign w:val="center"/>
                </w:tcPr>
                <w:p w14:paraId="31B8F5EA">
                  <w:pPr>
                    <w:jc w:val="center"/>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w:t>
                  </w:r>
                </w:p>
              </w:tc>
              <w:tc>
                <w:tcPr>
                  <w:tcW w:w="597" w:type="dxa"/>
                  <w:vAlign w:val="center"/>
                </w:tcPr>
                <w:p w14:paraId="1FBEE0C2">
                  <w:pPr>
                    <w:jc w:val="center"/>
                    <w:rPr>
                      <w:color w:val="000000" w:themeColor="text1"/>
                      <w:szCs w:val="21"/>
                      <w14:textFill>
                        <w14:solidFill>
                          <w14:schemeClr w14:val="tx1"/>
                        </w14:solidFill>
                      </w14:textFill>
                    </w:rPr>
                  </w:pPr>
                  <w:r>
                    <w:rPr>
                      <w:rFonts w:hint="eastAsia"/>
                      <w:color w:val="000000" w:themeColor="text1"/>
                      <w:szCs w:val="21"/>
                      <w:lang w:val="zh-CN"/>
                      <w14:textFill>
                        <w14:solidFill>
                          <w14:schemeClr w14:val="tx1"/>
                        </w14:solidFill>
                      </w14:textFill>
                    </w:rPr>
                    <w:t>熔融挤出</w:t>
                  </w:r>
                </w:p>
              </w:tc>
              <w:tc>
                <w:tcPr>
                  <w:tcW w:w="992" w:type="dxa"/>
                  <w:vAlign w:val="center"/>
                </w:tcPr>
                <w:p w14:paraId="78C148A4">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992" w:type="dxa"/>
                  <w:vAlign w:val="center"/>
                </w:tcPr>
                <w:p w14:paraId="2A0CB770">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车间密闭</w:t>
                  </w:r>
                </w:p>
              </w:tc>
              <w:tc>
                <w:tcPr>
                  <w:tcW w:w="2544" w:type="dxa"/>
                  <w:vAlign w:val="center"/>
                </w:tcPr>
                <w:p w14:paraId="44E600E7">
                  <w:pPr>
                    <w:jc w:val="center"/>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《关于全省开展工业企业挥发性有机物专项治理工作中排放建议值的通知》（豫环攻坚办〔</w:t>
                  </w:r>
                  <w:r>
                    <w:rPr>
                      <w:color w:val="000000" w:themeColor="text1"/>
                      <w:szCs w:val="21"/>
                      <w:lang w:val="zh-CN"/>
                      <w14:textFill>
                        <w14:solidFill>
                          <w14:schemeClr w14:val="tx1"/>
                        </w14:solidFill>
                      </w14:textFill>
                    </w:rPr>
                    <w:t>2017</w:t>
                  </w:r>
                  <w:r>
                    <w:rPr>
                      <w:rFonts w:hint="eastAsia"/>
                      <w:color w:val="000000" w:themeColor="text1"/>
                      <w:szCs w:val="21"/>
                      <w:lang w:val="zh-CN"/>
                      <w14:textFill>
                        <w14:solidFill>
                          <w14:schemeClr w14:val="tx1"/>
                        </w14:solidFill>
                      </w14:textFill>
                    </w:rPr>
                    <w:t>〕</w:t>
                  </w:r>
                  <w:r>
                    <w:rPr>
                      <w:color w:val="000000" w:themeColor="text1"/>
                      <w:szCs w:val="21"/>
                      <w:lang w:val="zh-CN"/>
                      <w14:textFill>
                        <w14:solidFill>
                          <w14:schemeClr w14:val="tx1"/>
                        </w14:solidFill>
                      </w14:textFill>
                    </w:rPr>
                    <w:t>162</w:t>
                  </w:r>
                  <w:r>
                    <w:rPr>
                      <w:rFonts w:hint="eastAsia"/>
                      <w:color w:val="000000" w:themeColor="text1"/>
                      <w:szCs w:val="21"/>
                      <w:lang w:val="zh-CN"/>
                      <w14:textFill>
                        <w14:solidFill>
                          <w14:schemeClr w14:val="tx1"/>
                        </w14:solidFill>
                      </w14:textFill>
                    </w:rPr>
                    <w:t>号）</w:t>
                  </w:r>
                </w:p>
              </w:tc>
              <w:tc>
                <w:tcPr>
                  <w:tcW w:w="1124" w:type="dxa"/>
                  <w:vAlign w:val="center"/>
                </w:tcPr>
                <w:p w14:paraId="46BD871E">
                  <w:pPr>
                    <w:jc w:val="center"/>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2.0</w:t>
                  </w:r>
                </w:p>
              </w:tc>
              <w:tc>
                <w:tcPr>
                  <w:tcW w:w="1073" w:type="dxa"/>
                  <w:vAlign w:val="center"/>
                </w:tcPr>
                <w:p w14:paraId="6FF564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0.0707</w:t>
                  </w:r>
                </w:p>
              </w:tc>
            </w:tr>
          </w:tbl>
          <w:p w14:paraId="3F69BDEB">
            <w:pPr>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6.3</w:t>
            </w:r>
            <w:r>
              <w:rPr>
                <w:color w:val="000000" w:themeColor="text1"/>
                <w:sz w:val="24"/>
                <w:lang w:val="zh-CN"/>
                <w14:textFill>
                  <w14:solidFill>
                    <w14:schemeClr w14:val="tx1"/>
                  </w14:solidFill>
                </w14:textFill>
              </w:rPr>
              <w:t>大气污染物年排放量核算</w:t>
            </w:r>
          </w:p>
          <w:p w14:paraId="56A7BC15">
            <w:pPr>
              <w:pStyle w:val="67"/>
              <w:ind w:firstLine="480"/>
            </w:pPr>
            <w:r>
              <w:t xml:space="preserve">            </w:t>
            </w:r>
            <w:r>
              <w:rPr>
                <w:lang w:val="zh-CN"/>
              </w:rPr>
              <w:t>大气污染物年排放量核算表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94"/>
              <w:gridCol w:w="3202"/>
              <w:gridCol w:w="3463"/>
            </w:tblGrid>
            <w:tr w14:paraId="72A9D6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894" w:type="dxa"/>
                  <w:vAlign w:val="center"/>
                </w:tcPr>
                <w:p w14:paraId="7BE7580D">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lang w:val="zh-CN"/>
                      <w14:textFill>
                        <w14:solidFill>
                          <w14:schemeClr w14:val="tx1"/>
                        </w14:solidFill>
                      </w14:textFill>
                    </w:rPr>
                    <w:t>序号</w:t>
                  </w:r>
                </w:p>
              </w:tc>
              <w:tc>
                <w:tcPr>
                  <w:tcW w:w="3202" w:type="dxa"/>
                  <w:vAlign w:val="center"/>
                </w:tcPr>
                <w:p w14:paraId="7529F689">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lang w:val="zh-CN"/>
                      <w14:textFill>
                        <w14:solidFill>
                          <w14:schemeClr w14:val="tx1"/>
                        </w14:solidFill>
                      </w14:textFill>
                    </w:rPr>
                    <w:t>污染物</w:t>
                  </w:r>
                </w:p>
              </w:tc>
              <w:tc>
                <w:tcPr>
                  <w:tcW w:w="3463" w:type="dxa"/>
                  <w:vAlign w:val="center"/>
                </w:tcPr>
                <w:p w14:paraId="65E3E3DF">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lang w:val="zh-CN"/>
                      <w14:textFill>
                        <w14:solidFill>
                          <w14:schemeClr w14:val="tx1"/>
                        </w14:solidFill>
                      </w14:textFill>
                    </w:rPr>
                    <w:t>年排放量</w:t>
                  </w:r>
                  <w:r>
                    <w:rPr>
                      <w:b/>
                      <w:bCs/>
                      <w:color w:val="000000" w:themeColor="text1"/>
                      <w:szCs w:val="21"/>
                      <w14:textFill>
                        <w14:solidFill>
                          <w14:schemeClr w14:val="tx1"/>
                        </w14:solidFill>
                      </w14:textFill>
                    </w:rPr>
                    <w:t>/（t/a）</w:t>
                  </w:r>
                </w:p>
              </w:tc>
            </w:tr>
            <w:tr w14:paraId="0E79F2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94" w:type="dxa"/>
                  <w:vAlign w:val="center"/>
                </w:tcPr>
                <w:p w14:paraId="78A33D4F">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202" w:type="dxa"/>
                  <w:vAlign w:val="center"/>
                </w:tcPr>
                <w:p w14:paraId="2973E5D4">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3463" w:type="dxa"/>
                  <w:vAlign w:val="center"/>
                </w:tcPr>
                <w:p w14:paraId="5E44BFAB">
                  <w:pPr>
                    <w:pStyle w:val="86"/>
                    <w:rPr>
                      <w:color w:val="000000" w:themeColor="text1"/>
                      <w:szCs w:val="21"/>
                      <w14:textFill>
                        <w14:solidFill>
                          <w14:schemeClr w14:val="tx1"/>
                        </w14:solidFill>
                      </w14:textFill>
                    </w:rPr>
                  </w:pPr>
                  <w:r>
                    <w:t>0.1</w:t>
                  </w:r>
                  <w:r>
                    <w:rPr>
                      <w:rFonts w:hint="eastAsia"/>
                    </w:rPr>
                    <w:t>352</w:t>
                  </w:r>
                </w:p>
              </w:tc>
            </w:tr>
          </w:tbl>
          <w:p w14:paraId="2D73ED4D">
            <w:pPr>
              <w:pStyle w:val="28"/>
              <w:ind w:firstLine="482"/>
              <w:rPr>
                <w:b/>
                <w:bCs/>
                <w:lang w:val="zh-CN"/>
              </w:rPr>
            </w:pPr>
            <w:r>
              <w:rPr>
                <w:b/>
                <w:bCs/>
              </w:rPr>
              <w:t>7</w:t>
            </w:r>
            <w:r>
              <w:rPr>
                <w:b/>
                <w:bCs/>
                <w:lang w:val="zh-CN"/>
              </w:rPr>
              <w:t>、污染物排放口基本情况</w:t>
            </w:r>
          </w:p>
          <w:p w14:paraId="53636F66">
            <w:pPr>
              <w:pStyle w:val="67"/>
              <w:ind w:firstLine="480"/>
              <w:rPr>
                <w:lang w:val="zh-CN"/>
              </w:rPr>
            </w:pPr>
            <w:r>
              <w:rPr>
                <w:lang w:val="zh-CN"/>
              </w:rPr>
              <w:t xml:space="preserve">             项目污染物排放口基本情况</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4"/>
              <w:gridCol w:w="992"/>
              <w:gridCol w:w="1065"/>
              <w:gridCol w:w="1859"/>
              <w:gridCol w:w="871"/>
              <w:gridCol w:w="937"/>
              <w:gridCol w:w="972"/>
              <w:gridCol w:w="969"/>
            </w:tblGrid>
            <w:tr w14:paraId="2291FB6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4" w:type="dxa"/>
                  <w:vAlign w:val="center"/>
                </w:tcPr>
                <w:p w14:paraId="28B5806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w:t>
                  </w:r>
                </w:p>
              </w:tc>
              <w:tc>
                <w:tcPr>
                  <w:tcW w:w="992" w:type="dxa"/>
                  <w:vAlign w:val="center"/>
                </w:tcPr>
                <w:p w14:paraId="560B11C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排放口名称</w:t>
                  </w:r>
                </w:p>
              </w:tc>
              <w:tc>
                <w:tcPr>
                  <w:tcW w:w="1065" w:type="dxa"/>
                  <w:vAlign w:val="center"/>
                </w:tcPr>
                <w:p w14:paraId="01B5175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污染物种类</w:t>
                  </w:r>
                </w:p>
              </w:tc>
              <w:tc>
                <w:tcPr>
                  <w:tcW w:w="1859" w:type="dxa"/>
                  <w:vAlign w:val="center"/>
                </w:tcPr>
                <w:p w14:paraId="1B4E4D7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排放口地理坐标</w:t>
                  </w:r>
                </w:p>
              </w:tc>
              <w:tc>
                <w:tcPr>
                  <w:tcW w:w="871" w:type="dxa"/>
                  <w:vAlign w:val="center"/>
                </w:tcPr>
                <w:p w14:paraId="25FE795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排气筒高度m</w:t>
                  </w:r>
                </w:p>
              </w:tc>
              <w:tc>
                <w:tcPr>
                  <w:tcW w:w="937" w:type="dxa"/>
                  <w:vAlign w:val="center"/>
                </w:tcPr>
                <w:p w14:paraId="2E80F3E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排气筒出口内径m</w:t>
                  </w:r>
                </w:p>
              </w:tc>
              <w:tc>
                <w:tcPr>
                  <w:tcW w:w="972" w:type="dxa"/>
                  <w:vAlign w:val="center"/>
                </w:tcPr>
                <w:p w14:paraId="241A298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排气温度℃</w:t>
                  </w:r>
                </w:p>
              </w:tc>
              <w:tc>
                <w:tcPr>
                  <w:tcW w:w="969" w:type="dxa"/>
                  <w:vAlign w:val="center"/>
                </w:tcPr>
                <w:p w14:paraId="1AB811D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排放口类型</w:t>
                  </w:r>
                </w:p>
              </w:tc>
            </w:tr>
            <w:tr w14:paraId="1D7FBA1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4" w:type="dxa"/>
                  <w:vAlign w:val="center"/>
                </w:tcPr>
                <w:p w14:paraId="57C3EB98">
                  <w:pPr>
                    <w:jc w:val="center"/>
                    <w:rPr>
                      <w:bCs/>
                      <w:color w:val="000000" w:themeColor="text1"/>
                      <w:szCs w:val="21"/>
                      <w14:textFill>
                        <w14:solidFill>
                          <w14:schemeClr w14:val="tx1"/>
                        </w14:solidFill>
                      </w14:textFill>
                    </w:rPr>
                  </w:pPr>
                  <w:r>
                    <w:rPr>
                      <w:rFonts w:hint="eastAsia"/>
                    </w:rPr>
                    <w:t>DA00</w:t>
                  </w:r>
                  <w:r>
                    <w:t>2</w:t>
                  </w:r>
                </w:p>
              </w:tc>
              <w:tc>
                <w:tcPr>
                  <w:tcW w:w="992" w:type="dxa"/>
                  <w:vAlign w:val="center"/>
                </w:tcPr>
                <w:p w14:paraId="12321604">
                  <w:pPr>
                    <w:pStyle w:val="86"/>
                    <w:rPr>
                      <w:color w:val="000000" w:themeColor="text1"/>
                      <w:szCs w:val="21"/>
                      <w14:textFill>
                        <w14:solidFill>
                          <w14:schemeClr w14:val="tx1"/>
                        </w14:solidFill>
                      </w14:textFill>
                    </w:rPr>
                  </w:pPr>
                  <w:r>
                    <w:rPr>
                      <w:rFonts w:hint="eastAsia"/>
                    </w:rPr>
                    <w:t>废气排气口</w:t>
                  </w:r>
                </w:p>
              </w:tc>
              <w:tc>
                <w:tcPr>
                  <w:tcW w:w="1065" w:type="dxa"/>
                  <w:vAlign w:val="center"/>
                </w:tcPr>
                <w:p w14:paraId="26834B3B">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859" w:type="dxa"/>
                  <w:vAlign w:val="center"/>
                </w:tcPr>
                <w:p w14:paraId="02B1766E">
                  <w:pPr>
                    <w:pStyle w:val="86"/>
                  </w:pPr>
                  <w:r>
                    <w:t>经度：113.652459</w:t>
                  </w:r>
                </w:p>
                <w:p w14:paraId="15E9DD9E">
                  <w:pPr>
                    <w:pStyle w:val="86"/>
                  </w:pPr>
                  <w:r>
                    <w:t>纬度：35.243562</w:t>
                  </w:r>
                </w:p>
              </w:tc>
              <w:tc>
                <w:tcPr>
                  <w:tcW w:w="871" w:type="dxa"/>
                  <w:vAlign w:val="center"/>
                </w:tcPr>
                <w:p w14:paraId="47E7BF4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5</w:t>
                  </w:r>
                </w:p>
              </w:tc>
              <w:tc>
                <w:tcPr>
                  <w:tcW w:w="937" w:type="dxa"/>
                  <w:vAlign w:val="center"/>
                </w:tcPr>
                <w:p w14:paraId="20A2E310">
                  <w:pPr>
                    <w:jc w:val="center"/>
                    <w:rPr>
                      <w:bCs/>
                      <w:szCs w:val="21"/>
                    </w:rPr>
                  </w:pPr>
                  <w:r>
                    <w:rPr>
                      <w:bCs/>
                      <w:szCs w:val="21"/>
                    </w:rPr>
                    <w:t>0.4</w:t>
                  </w:r>
                </w:p>
              </w:tc>
              <w:tc>
                <w:tcPr>
                  <w:tcW w:w="972" w:type="dxa"/>
                  <w:vAlign w:val="center"/>
                </w:tcPr>
                <w:p w14:paraId="23ED9A7B">
                  <w:pPr>
                    <w:jc w:val="center"/>
                    <w:rPr>
                      <w:bCs/>
                      <w:szCs w:val="21"/>
                    </w:rPr>
                  </w:pPr>
                  <w:r>
                    <w:rPr>
                      <w:bCs/>
                      <w:szCs w:val="21"/>
                    </w:rPr>
                    <w:t>25</w:t>
                  </w:r>
                </w:p>
              </w:tc>
              <w:tc>
                <w:tcPr>
                  <w:tcW w:w="969" w:type="dxa"/>
                  <w:vAlign w:val="center"/>
                </w:tcPr>
                <w:p w14:paraId="6D4C26F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一般排放口</w:t>
                  </w:r>
                </w:p>
              </w:tc>
            </w:tr>
          </w:tbl>
          <w:p w14:paraId="3291D1CB">
            <w:pPr>
              <w:spacing w:line="480" w:lineRule="exact"/>
              <w:ind w:firstLine="482" w:firstLineChars="200"/>
              <w:jc w:val="left"/>
              <w:rPr>
                <w:rFonts w:hint="eastAsia" w:ascii="宋体" w:hAnsi="宋体"/>
                <w:b/>
                <w:bCs/>
                <w:sz w:val="24"/>
              </w:rPr>
            </w:pPr>
            <w:r>
              <w:rPr>
                <w:b/>
                <w:bCs/>
                <w:sz w:val="24"/>
              </w:rPr>
              <w:t>8</w:t>
            </w:r>
            <w:r>
              <w:rPr>
                <w:rFonts w:ascii="宋体" w:hAnsi="宋体"/>
                <w:b/>
                <w:bCs/>
                <w:sz w:val="24"/>
              </w:rPr>
              <w:t>、全厂废气污染物排放</w:t>
            </w:r>
            <w:r>
              <w:rPr>
                <w:b/>
                <w:bCs/>
                <w:sz w:val="24"/>
              </w:rPr>
              <w:t>“</w:t>
            </w:r>
            <w:r>
              <w:rPr>
                <w:rFonts w:ascii="宋体" w:hAnsi="宋体"/>
                <w:b/>
                <w:bCs/>
                <w:sz w:val="24"/>
              </w:rPr>
              <w:t>三</w:t>
            </w:r>
            <w:r>
              <w:rPr>
                <w:rFonts w:hint="eastAsia" w:ascii="宋体" w:hAnsi="宋体"/>
                <w:b/>
                <w:bCs/>
                <w:sz w:val="24"/>
              </w:rPr>
              <w:t>本</w:t>
            </w:r>
            <w:r>
              <w:rPr>
                <w:rFonts w:ascii="宋体" w:hAnsi="宋体"/>
                <w:b/>
                <w:bCs/>
                <w:sz w:val="24"/>
              </w:rPr>
              <w:t>账</w:t>
            </w:r>
            <w:r>
              <w:rPr>
                <w:b/>
                <w:bCs/>
                <w:sz w:val="24"/>
              </w:rPr>
              <w:t>”</w:t>
            </w:r>
            <w:r>
              <w:rPr>
                <w:rFonts w:ascii="宋体" w:hAnsi="宋体"/>
                <w:b/>
                <w:bCs/>
                <w:sz w:val="24"/>
              </w:rPr>
              <w:t>情况</w:t>
            </w:r>
          </w:p>
          <w:p w14:paraId="15A71AE0">
            <w:pPr>
              <w:pStyle w:val="28"/>
              <w:ind w:firstLine="480"/>
            </w:pPr>
          </w:p>
          <w:p w14:paraId="1F2A28FF">
            <w:pPr>
              <w:pStyle w:val="67"/>
              <w:ind w:firstLine="480"/>
            </w:pPr>
            <w:r>
              <w:t xml:space="preserve">      </w:t>
            </w:r>
            <w:r>
              <w:rPr>
                <w:rFonts w:ascii="黑体" w:hAnsi="黑体"/>
              </w:rPr>
              <w:t>全厂</w:t>
            </w:r>
            <w:r>
              <w:rPr>
                <w:rFonts w:hint="eastAsia" w:ascii="黑体" w:hAnsi="黑体"/>
              </w:rPr>
              <w:t>废气</w:t>
            </w:r>
            <w:r>
              <w:rPr>
                <w:rFonts w:ascii="黑体" w:hAnsi="黑体"/>
              </w:rPr>
              <w:t>污染物排放</w:t>
            </w:r>
            <w:r>
              <w:rPr>
                <w:rFonts w:hint="eastAsia" w:ascii="黑体" w:hAnsi="黑体"/>
              </w:rPr>
              <w:t>“</w:t>
            </w:r>
            <w:r>
              <w:rPr>
                <w:rFonts w:ascii="宋体" w:hAnsi="宋体"/>
                <w:b/>
                <w:bCs/>
              </w:rPr>
              <w:t>三</w:t>
            </w:r>
            <w:r>
              <w:rPr>
                <w:rFonts w:hint="eastAsia" w:ascii="宋体" w:hAnsi="宋体"/>
                <w:b/>
                <w:bCs/>
              </w:rPr>
              <w:t>本</w:t>
            </w:r>
            <w:r>
              <w:rPr>
                <w:rFonts w:ascii="宋体" w:hAnsi="宋体"/>
                <w:b/>
                <w:bCs/>
              </w:rPr>
              <w:t>账</w:t>
            </w:r>
            <w:r>
              <w:rPr>
                <w:rFonts w:hint="eastAsia" w:ascii="黑体" w:hAnsi="黑体"/>
              </w:rPr>
              <w:t>”</w:t>
            </w:r>
            <w:r>
              <w:rPr>
                <w:rFonts w:ascii="黑体" w:hAnsi="黑体"/>
              </w:rPr>
              <w:t>一览表</w:t>
            </w:r>
            <w:r>
              <w:t xml:space="preserve">      </w:t>
            </w:r>
            <w:r>
              <w:rPr>
                <w:rFonts w:ascii="黑体" w:hAnsi="黑体"/>
              </w:rPr>
              <w:t>单位：</w:t>
            </w:r>
            <w:r>
              <w:t>t/a</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2139"/>
              <w:gridCol w:w="1070"/>
              <w:gridCol w:w="1070"/>
              <w:gridCol w:w="1070"/>
              <w:gridCol w:w="1070"/>
              <w:gridCol w:w="1070"/>
              <w:gridCol w:w="1070"/>
            </w:tblGrid>
            <w:tr w14:paraId="2572919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7" w:hRule="atLeast"/>
                <w:jc w:val="center"/>
              </w:trPr>
              <w:tc>
                <w:tcPr>
                  <w:tcW w:w="2139" w:type="dxa"/>
                  <w:vMerge w:val="restart"/>
                  <w:vAlign w:val="center"/>
                </w:tcPr>
                <w:p w14:paraId="2F7386B8">
                  <w:pPr>
                    <w:jc w:val="center"/>
                    <w:rPr>
                      <w:b/>
                      <w:bCs/>
                      <w:color w:val="000000"/>
                      <w:szCs w:val="21"/>
                    </w:rPr>
                  </w:pPr>
                  <w:r>
                    <w:rPr>
                      <w:rFonts w:ascii="宋体" w:hAnsi="宋体"/>
                      <w:b/>
                      <w:bCs/>
                      <w:color w:val="000000"/>
                    </w:rPr>
                    <w:t>污染物</w:t>
                  </w:r>
                </w:p>
              </w:tc>
              <w:tc>
                <w:tcPr>
                  <w:tcW w:w="2140" w:type="dxa"/>
                  <w:gridSpan w:val="2"/>
                  <w:vAlign w:val="center"/>
                </w:tcPr>
                <w:p w14:paraId="7E0410A4">
                  <w:pPr>
                    <w:jc w:val="center"/>
                    <w:rPr>
                      <w:b/>
                      <w:bCs/>
                      <w:color w:val="000000"/>
                    </w:rPr>
                  </w:pPr>
                  <w:r>
                    <w:rPr>
                      <w:rFonts w:ascii="宋体" w:hAnsi="宋体"/>
                      <w:b/>
                      <w:bCs/>
                      <w:color w:val="000000"/>
                    </w:rPr>
                    <w:t>现有工程</w:t>
                  </w:r>
                </w:p>
              </w:tc>
              <w:tc>
                <w:tcPr>
                  <w:tcW w:w="1070" w:type="dxa"/>
                  <w:vMerge w:val="restart"/>
                  <w:vAlign w:val="center"/>
                </w:tcPr>
                <w:p w14:paraId="7CFF4E93">
                  <w:pPr>
                    <w:jc w:val="center"/>
                    <w:rPr>
                      <w:b/>
                      <w:bCs/>
                      <w:color w:val="000000"/>
                    </w:rPr>
                  </w:pPr>
                  <w:r>
                    <w:rPr>
                      <w:rFonts w:ascii="宋体" w:hAnsi="宋体"/>
                      <w:b/>
                      <w:bCs/>
                      <w:color w:val="000000"/>
                    </w:rPr>
                    <w:t>本工程排放量</w:t>
                  </w:r>
                </w:p>
              </w:tc>
              <w:tc>
                <w:tcPr>
                  <w:tcW w:w="1070" w:type="dxa"/>
                  <w:vMerge w:val="restart"/>
                  <w:vAlign w:val="center"/>
                </w:tcPr>
                <w:p w14:paraId="697645ED">
                  <w:pPr>
                    <w:jc w:val="center"/>
                    <w:rPr>
                      <w:b/>
                      <w:bCs/>
                      <w:color w:val="000000"/>
                    </w:rPr>
                  </w:pPr>
                  <w:r>
                    <w:rPr>
                      <w:rFonts w:ascii="宋体" w:hAnsi="宋体"/>
                      <w:b/>
                      <w:bCs/>
                      <w:color w:val="000000"/>
                    </w:rPr>
                    <w:t>以新带老削减量</w:t>
                  </w:r>
                </w:p>
              </w:tc>
              <w:tc>
                <w:tcPr>
                  <w:tcW w:w="1070" w:type="dxa"/>
                  <w:vMerge w:val="restart"/>
                  <w:vAlign w:val="center"/>
                </w:tcPr>
                <w:p w14:paraId="79657DEB">
                  <w:pPr>
                    <w:jc w:val="center"/>
                    <w:rPr>
                      <w:b/>
                      <w:bCs/>
                      <w:color w:val="000000"/>
                    </w:rPr>
                  </w:pPr>
                  <w:r>
                    <w:rPr>
                      <w:rFonts w:ascii="宋体" w:hAnsi="宋体"/>
                      <w:b/>
                      <w:bCs/>
                      <w:color w:val="000000"/>
                    </w:rPr>
                    <w:t>全厂排放总量</w:t>
                  </w:r>
                </w:p>
              </w:tc>
              <w:tc>
                <w:tcPr>
                  <w:tcW w:w="1070" w:type="dxa"/>
                  <w:vMerge w:val="restart"/>
                  <w:vAlign w:val="center"/>
                </w:tcPr>
                <w:p w14:paraId="459CA4FF">
                  <w:pPr>
                    <w:jc w:val="center"/>
                    <w:rPr>
                      <w:b/>
                      <w:bCs/>
                      <w:color w:val="000000"/>
                    </w:rPr>
                  </w:pPr>
                  <w:r>
                    <w:rPr>
                      <w:rFonts w:ascii="宋体" w:hAnsi="宋体"/>
                      <w:b/>
                      <w:bCs/>
                      <w:color w:val="000000"/>
                    </w:rPr>
                    <w:t>排放增减量</w:t>
                  </w:r>
                </w:p>
              </w:tc>
            </w:tr>
            <w:tr w14:paraId="2EE2F01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7" w:hRule="atLeast"/>
                <w:jc w:val="center"/>
              </w:trPr>
              <w:tc>
                <w:tcPr>
                  <w:tcW w:w="2139" w:type="dxa"/>
                  <w:vMerge w:val="continue"/>
                  <w:vAlign w:val="center"/>
                </w:tcPr>
                <w:p w14:paraId="37484E95">
                  <w:pPr>
                    <w:widowControl/>
                    <w:jc w:val="left"/>
                    <w:rPr>
                      <w:b/>
                      <w:bCs/>
                      <w:color w:val="000000"/>
                      <w:szCs w:val="21"/>
                    </w:rPr>
                  </w:pPr>
                </w:p>
              </w:tc>
              <w:tc>
                <w:tcPr>
                  <w:tcW w:w="1070" w:type="dxa"/>
                  <w:vAlign w:val="center"/>
                </w:tcPr>
                <w:p w14:paraId="6BFB8637">
                  <w:pPr>
                    <w:jc w:val="center"/>
                    <w:rPr>
                      <w:b/>
                      <w:bCs/>
                      <w:color w:val="000000"/>
                    </w:rPr>
                  </w:pPr>
                  <w:r>
                    <w:rPr>
                      <w:rFonts w:hint="eastAsia" w:ascii="宋体" w:hAnsi="宋体"/>
                      <w:b/>
                      <w:bCs/>
                      <w:color w:val="000000"/>
                    </w:rPr>
                    <w:t>实际排放量</w:t>
                  </w:r>
                </w:p>
              </w:tc>
              <w:tc>
                <w:tcPr>
                  <w:tcW w:w="1070" w:type="dxa"/>
                  <w:vAlign w:val="center"/>
                </w:tcPr>
                <w:p w14:paraId="2B58CEE3">
                  <w:pPr>
                    <w:jc w:val="center"/>
                    <w:rPr>
                      <w:b/>
                      <w:bCs/>
                      <w:color w:val="000000"/>
                    </w:rPr>
                  </w:pPr>
                  <w:r>
                    <w:rPr>
                      <w:rFonts w:hint="eastAsia" w:ascii="宋体" w:hAnsi="宋体"/>
                      <w:b/>
                      <w:bCs/>
                      <w:color w:val="000000"/>
                    </w:rPr>
                    <w:t>允许排放量</w:t>
                  </w:r>
                </w:p>
              </w:tc>
              <w:tc>
                <w:tcPr>
                  <w:tcW w:w="1070" w:type="dxa"/>
                  <w:vMerge w:val="continue"/>
                  <w:vAlign w:val="center"/>
                </w:tcPr>
                <w:p w14:paraId="0905AB51">
                  <w:pPr>
                    <w:widowControl/>
                    <w:jc w:val="left"/>
                    <w:rPr>
                      <w:b/>
                      <w:bCs/>
                      <w:color w:val="000000"/>
                      <w:szCs w:val="21"/>
                    </w:rPr>
                  </w:pPr>
                </w:p>
              </w:tc>
              <w:tc>
                <w:tcPr>
                  <w:tcW w:w="1070" w:type="dxa"/>
                  <w:vMerge w:val="continue"/>
                  <w:vAlign w:val="center"/>
                </w:tcPr>
                <w:p w14:paraId="3989F587">
                  <w:pPr>
                    <w:widowControl/>
                    <w:jc w:val="left"/>
                    <w:rPr>
                      <w:b/>
                      <w:bCs/>
                      <w:color w:val="000000"/>
                      <w:szCs w:val="21"/>
                    </w:rPr>
                  </w:pPr>
                </w:p>
              </w:tc>
              <w:tc>
                <w:tcPr>
                  <w:tcW w:w="1070" w:type="dxa"/>
                  <w:vMerge w:val="continue"/>
                  <w:vAlign w:val="center"/>
                </w:tcPr>
                <w:p w14:paraId="7C9D113C">
                  <w:pPr>
                    <w:widowControl/>
                    <w:jc w:val="left"/>
                    <w:rPr>
                      <w:b/>
                      <w:bCs/>
                      <w:color w:val="000000"/>
                      <w:szCs w:val="21"/>
                    </w:rPr>
                  </w:pPr>
                </w:p>
              </w:tc>
              <w:tc>
                <w:tcPr>
                  <w:tcW w:w="1070" w:type="dxa"/>
                  <w:vMerge w:val="continue"/>
                  <w:vAlign w:val="center"/>
                </w:tcPr>
                <w:p w14:paraId="30AB18CB">
                  <w:pPr>
                    <w:widowControl/>
                    <w:jc w:val="left"/>
                    <w:rPr>
                      <w:b/>
                      <w:bCs/>
                      <w:color w:val="000000"/>
                      <w:szCs w:val="21"/>
                    </w:rPr>
                  </w:pPr>
                </w:p>
              </w:tc>
            </w:tr>
            <w:tr w14:paraId="225DE9A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2139" w:type="dxa"/>
                  <w:vAlign w:val="center"/>
                </w:tcPr>
                <w:p w14:paraId="52ACF154">
                  <w:pPr>
                    <w:jc w:val="center"/>
                    <w:rPr>
                      <w:color w:val="000000"/>
                    </w:rPr>
                  </w:pPr>
                  <w:r>
                    <w:rPr>
                      <w:rFonts w:hint="eastAsia"/>
                      <w:color w:val="000000" w:themeColor="text1"/>
                      <w:szCs w:val="21"/>
                      <w14:textFill>
                        <w14:solidFill>
                          <w14:schemeClr w14:val="tx1"/>
                        </w14:solidFill>
                      </w14:textFill>
                    </w:rPr>
                    <w:t>非甲烷总烃</w:t>
                  </w:r>
                </w:p>
              </w:tc>
              <w:tc>
                <w:tcPr>
                  <w:tcW w:w="1070" w:type="dxa"/>
                  <w:vAlign w:val="center"/>
                </w:tcPr>
                <w:p w14:paraId="4FB2FB08">
                  <w:pPr>
                    <w:jc w:val="center"/>
                    <w:rPr>
                      <w:color w:val="000000" w:themeColor="text1"/>
                      <w:szCs w:val="21"/>
                      <w14:textFill>
                        <w14:solidFill>
                          <w14:schemeClr w14:val="tx1"/>
                        </w14:solidFill>
                      </w14:textFill>
                    </w:rPr>
                  </w:pPr>
                  <w:r>
                    <w:t>0.1395</w:t>
                  </w:r>
                </w:p>
              </w:tc>
              <w:tc>
                <w:tcPr>
                  <w:tcW w:w="1070" w:type="dxa"/>
                  <w:vAlign w:val="center"/>
                </w:tcPr>
                <w:p w14:paraId="205541BE">
                  <w:pPr>
                    <w:jc w:val="center"/>
                    <w:rPr>
                      <w:color w:val="000000" w:themeColor="text1"/>
                      <w:szCs w:val="21"/>
                      <w14:textFill>
                        <w14:solidFill>
                          <w14:schemeClr w14:val="tx1"/>
                        </w14:solidFill>
                      </w14:textFill>
                    </w:rPr>
                  </w:pPr>
                  <w:r>
                    <w:t>2.3631</w:t>
                  </w:r>
                </w:p>
              </w:tc>
              <w:tc>
                <w:tcPr>
                  <w:tcW w:w="1070" w:type="dxa"/>
                  <w:vAlign w:val="center"/>
                </w:tcPr>
                <w:p w14:paraId="01C7D5B7">
                  <w:pPr>
                    <w:jc w:val="center"/>
                    <w:rPr>
                      <w:color w:val="000000" w:themeColor="text1"/>
                      <w:szCs w:val="21"/>
                      <w14:textFill>
                        <w14:solidFill>
                          <w14:schemeClr w14:val="tx1"/>
                        </w14:solidFill>
                      </w14:textFill>
                    </w:rPr>
                  </w:pPr>
                  <w:r>
                    <w:t>0.1</w:t>
                  </w:r>
                  <w:r>
                    <w:rPr>
                      <w:rFonts w:hint="eastAsia"/>
                    </w:rPr>
                    <w:t>352</w:t>
                  </w:r>
                </w:p>
              </w:tc>
              <w:tc>
                <w:tcPr>
                  <w:tcW w:w="1070" w:type="dxa"/>
                  <w:vAlign w:val="center"/>
                </w:tcPr>
                <w:p w14:paraId="6A5E9017">
                  <w:pPr>
                    <w:jc w:val="center"/>
                    <w:rPr>
                      <w:color w:val="000000"/>
                    </w:rPr>
                  </w:pPr>
                  <w:r>
                    <w:rPr>
                      <w:color w:val="000000" w:themeColor="text1"/>
                      <w:szCs w:val="21"/>
                      <w14:textFill>
                        <w14:solidFill>
                          <w14:schemeClr w14:val="tx1"/>
                        </w14:solidFill>
                      </w14:textFill>
                    </w:rPr>
                    <w:t>/</w:t>
                  </w:r>
                </w:p>
              </w:tc>
              <w:tc>
                <w:tcPr>
                  <w:tcW w:w="1070" w:type="dxa"/>
                  <w:vAlign w:val="center"/>
                </w:tcPr>
                <w:p w14:paraId="48CAAE8E">
                  <w:pPr>
                    <w:jc w:val="center"/>
                    <w:rPr>
                      <w:color w:val="000000"/>
                    </w:rPr>
                  </w:pPr>
                  <w:r>
                    <w:rPr>
                      <w:color w:val="000000" w:themeColor="text1"/>
                      <w:szCs w:val="21"/>
                      <w14:textFill>
                        <w14:solidFill>
                          <w14:schemeClr w14:val="tx1"/>
                        </w14:solidFill>
                      </w14:textFill>
                    </w:rPr>
                    <w:t>0.2747</w:t>
                  </w:r>
                </w:p>
              </w:tc>
              <w:tc>
                <w:tcPr>
                  <w:tcW w:w="1070" w:type="dxa"/>
                  <w:vAlign w:val="center"/>
                </w:tcPr>
                <w:p w14:paraId="22975328">
                  <w:pPr>
                    <w:jc w:val="center"/>
                    <w:rPr>
                      <w:color w:val="000000"/>
                    </w:rPr>
                  </w:pPr>
                  <w:r>
                    <w:rPr>
                      <w:color w:val="000000" w:themeColor="text1"/>
                      <w:szCs w:val="21"/>
                      <w14:textFill>
                        <w14:solidFill>
                          <w14:schemeClr w14:val="tx1"/>
                        </w14:solidFill>
                      </w14:textFill>
                    </w:rPr>
                    <w:t>+</w:t>
                  </w:r>
                  <w:r>
                    <w:t>0.1</w:t>
                  </w:r>
                  <w:r>
                    <w:rPr>
                      <w:rFonts w:hint="eastAsia"/>
                    </w:rPr>
                    <w:t>352</w:t>
                  </w:r>
                </w:p>
              </w:tc>
            </w:tr>
          </w:tbl>
          <w:p w14:paraId="0F3AF497">
            <w:pPr>
              <w:spacing w:line="480" w:lineRule="exact"/>
              <w:ind w:firstLine="482" w:firstLineChars="200"/>
              <w:jc w:val="left"/>
              <w:rPr>
                <w:b/>
                <w:bCs/>
                <w:color w:val="000000" w:themeColor="text1"/>
                <w:sz w:val="24"/>
                <w:lang w:val="zh-CN"/>
                <w14:textFill>
                  <w14:solidFill>
                    <w14:schemeClr w14:val="tx1"/>
                  </w14:solidFill>
                </w14:textFill>
              </w:rPr>
            </w:pPr>
            <w:r>
              <w:rPr>
                <w:b/>
                <w:bCs/>
                <w:color w:val="000000" w:themeColor="text1"/>
                <w:sz w:val="24"/>
                <w14:textFill>
                  <w14:solidFill>
                    <w14:schemeClr w14:val="tx1"/>
                  </w14:solidFill>
                </w14:textFill>
              </w:rPr>
              <w:t>9</w:t>
            </w:r>
            <w:r>
              <w:rPr>
                <w:b/>
                <w:bCs/>
                <w:color w:val="000000" w:themeColor="text1"/>
                <w:sz w:val="24"/>
                <w:lang w:val="zh-CN"/>
                <w14:textFill>
                  <w14:solidFill>
                    <w14:schemeClr w14:val="tx1"/>
                  </w14:solidFill>
                </w14:textFill>
              </w:rPr>
              <w:t>、监测要求</w:t>
            </w:r>
          </w:p>
          <w:p w14:paraId="63C60285">
            <w:pPr>
              <w:pStyle w:val="28"/>
              <w:ind w:firstLine="480"/>
              <w:rPr>
                <w:lang w:val="zh-CN"/>
              </w:rPr>
            </w:pPr>
            <w:r>
              <w:t>根据</w:t>
            </w:r>
            <w:r>
              <w:rPr>
                <w:rFonts w:hint="eastAsia"/>
                <w:lang w:val="zh-CN"/>
              </w:rPr>
              <w:t>《排污单位自行监测技术指南 橡胶和塑料制品》（HJ1207-2021）</w:t>
            </w:r>
            <w:r>
              <w:rPr>
                <w:lang w:val="zh-CN"/>
              </w:rPr>
              <w:t>的</w:t>
            </w:r>
            <w:r>
              <w:rPr>
                <w:rFonts w:hint="eastAsia"/>
                <w:lang w:val="zh-CN"/>
              </w:rPr>
              <w:t>要求</w:t>
            </w:r>
            <w:r>
              <w:rPr>
                <w:lang w:val="zh-CN"/>
              </w:rPr>
              <w:t>，评价提出项目在</w:t>
            </w:r>
            <w:r>
              <w:rPr>
                <w:rFonts w:hint="eastAsia"/>
                <w:lang w:val="zh-CN"/>
              </w:rPr>
              <w:t>生产</w:t>
            </w:r>
            <w:r>
              <w:rPr>
                <w:lang w:val="zh-CN"/>
              </w:rPr>
              <w:t>运行阶段的污染源监测计划，具体监测计划见下表</w:t>
            </w:r>
            <w:r>
              <w:rPr>
                <w:rFonts w:hint="eastAsia"/>
                <w:lang w:val="zh-CN"/>
              </w:rPr>
              <w:t>：</w:t>
            </w:r>
          </w:p>
          <w:p w14:paraId="3E5B94F6">
            <w:pPr>
              <w:pStyle w:val="67"/>
              <w:ind w:firstLine="480"/>
              <w:rPr>
                <w:lang w:val="zh-CN"/>
              </w:rPr>
            </w:pPr>
            <w:r>
              <w:rPr>
                <w:lang w:val="zh-CN"/>
              </w:rPr>
              <w:t xml:space="preserve">               污染源自行监测计划表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41"/>
              <w:gridCol w:w="852"/>
              <w:gridCol w:w="1133"/>
              <w:gridCol w:w="1133"/>
              <w:gridCol w:w="4600"/>
            </w:tblGrid>
            <w:tr w14:paraId="671C6D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89" w:type="pct"/>
                  <w:gridSpan w:val="2"/>
                  <w:tcMar>
                    <w:top w:w="0" w:type="dxa"/>
                    <w:left w:w="28" w:type="dxa"/>
                    <w:bottom w:w="0" w:type="dxa"/>
                    <w:right w:w="28" w:type="dxa"/>
                  </w:tcMar>
                  <w:vAlign w:val="center"/>
                </w:tcPr>
                <w:p w14:paraId="5A6E89BE">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监测指标</w:t>
                  </w:r>
                </w:p>
              </w:tc>
              <w:tc>
                <w:tcPr>
                  <w:tcW w:w="662" w:type="pct"/>
                  <w:tcMar>
                    <w:top w:w="0" w:type="dxa"/>
                    <w:left w:w="28" w:type="dxa"/>
                    <w:bottom w:w="0" w:type="dxa"/>
                    <w:right w:w="28" w:type="dxa"/>
                  </w:tcMar>
                  <w:vAlign w:val="center"/>
                </w:tcPr>
                <w:p w14:paraId="5DA718D6">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监测点位</w:t>
                  </w:r>
                </w:p>
              </w:tc>
              <w:tc>
                <w:tcPr>
                  <w:tcW w:w="662" w:type="pct"/>
                  <w:tcMar>
                    <w:top w:w="0" w:type="dxa"/>
                    <w:left w:w="28" w:type="dxa"/>
                    <w:bottom w:w="0" w:type="dxa"/>
                    <w:right w:w="28" w:type="dxa"/>
                  </w:tcMar>
                  <w:vAlign w:val="center"/>
                </w:tcPr>
                <w:p w14:paraId="6E70A946">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监测频次</w:t>
                  </w:r>
                </w:p>
              </w:tc>
              <w:tc>
                <w:tcPr>
                  <w:tcW w:w="2687" w:type="pct"/>
                  <w:tcMar>
                    <w:top w:w="0" w:type="dxa"/>
                    <w:left w:w="28" w:type="dxa"/>
                    <w:bottom w:w="0" w:type="dxa"/>
                    <w:right w:w="28" w:type="dxa"/>
                  </w:tcMar>
                  <w:vAlign w:val="center"/>
                </w:tcPr>
                <w:p w14:paraId="731AD2F8">
                  <w:pPr>
                    <w:autoSpaceDE w:val="0"/>
                    <w:autoSpaceDN w:val="0"/>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14:textFill>
                        <w14:solidFill>
                          <w14:schemeClr w14:val="tx1"/>
                        </w14:solidFill>
                      </w14:textFill>
                    </w:rPr>
                    <w:t>执行排放标准</w:t>
                  </w:r>
                </w:p>
              </w:tc>
            </w:tr>
            <w:tr w14:paraId="258A72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00" w:type="pct"/>
                  <w:gridSpan w:val="5"/>
                  <w:tcMar>
                    <w:top w:w="0" w:type="dxa"/>
                    <w:left w:w="28" w:type="dxa"/>
                    <w:bottom w:w="0" w:type="dxa"/>
                    <w:right w:w="28" w:type="dxa"/>
                  </w:tcMar>
                  <w:vAlign w:val="center"/>
                </w:tcPr>
                <w:p w14:paraId="48A964BD">
                  <w:pPr>
                    <w:autoSpaceDE w:val="0"/>
                    <w:autoSpaceDN w:val="0"/>
                    <w:adjustRightInd w:val="0"/>
                    <w:snapToGrid w:val="0"/>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有组织废气</w:t>
                  </w:r>
                </w:p>
              </w:tc>
            </w:tr>
            <w:tr w14:paraId="349921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91" w:type="pct"/>
                  <w:tcMar>
                    <w:top w:w="0" w:type="dxa"/>
                    <w:left w:w="28" w:type="dxa"/>
                    <w:bottom w:w="0" w:type="dxa"/>
                    <w:right w:w="28" w:type="dxa"/>
                  </w:tcMar>
                  <w:vAlign w:val="center"/>
                </w:tcPr>
                <w:p w14:paraId="48167AD8">
                  <w:pPr>
                    <w:autoSpaceDE w:val="0"/>
                    <w:autoSpaceDN w:val="0"/>
                    <w:adjustRightInd w:val="0"/>
                    <w:snapToGrid w:val="0"/>
                    <w:jc w:val="center"/>
                    <w:rPr>
                      <w:color w:val="000000" w:themeColor="text1"/>
                      <w:szCs w:val="21"/>
                      <w:lang w:val="zh-CN"/>
                      <w14:textFill>
                        <w14:solidFill>
                          <w14:schemeClr w14:val="tx1"/>
                        </w14:solidFill>
                      </w14:textFill>
                    </w:rPr>
                  </w:pPr>
                  <w:r>
                    <w:rPr>
                      <w:rFonts w:hint="eastAsia"/>
                      <w:lang w:val="zh-CN"/>
                    </w:rPr>
                    <w:t>非甲烷总烃</w:t>
                  </w:r>
                </w:p>
              </w:tc>
              <w:tc>
                <w:tcPr>
                  <w:tcW w:w="498" w:type="pct"/>
                  <w:tcMar>
                    <w:top w:w="0" w:type="dxa"/>
                    <w:left w:w="28" w:type="dxa"/>
                    <w:bottom w:w="0" w:type="dxa"/>
                    <w:right w:w="28" w:type="dxa"/>
                  </w:tcMar>
                  <w:vAlign w:val="center"/>
                </w:tcPr>
                <w:p w14:paraId="21737A33">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浓度、速率、废气量</w:t>
                  </w:r>
                </w:p>
              </w:tc>
              <w:tc>
                <w:tcPr>
                  <w:tcW w:w="662" w:type="pct"/>
                  <w:tcMar>
                    <w:top w:w="0" w:type="dxa"/>
                    <w:left w:w="28" w:type="dxa"/>
                    <w:bottom w:w="0" w:type="dxa"/>
                    <w:right w:w="28" w:type="dxa"/>
                  </w:tcMar>
                  <w:vAlign w:val="center"/>
                </w:tcPr>
                <w:p w14:paraId="6623C62D">
                  <w:pPr>
                    <w:pStyle w:val="86"/>
                    <w:rPr>
                      <w:color w:val="000000" w:themeColor="text1"/>
                      <w:szCs w:val="21"/>
                      <w:lang w:val="zh-CN"/>
                      <w14:textFill>
                        <w14:solidFill>
                          <w14:schemeClr w14:val="tx1"/>
                        </w14:solidFill>
                      </w14:textFill>
                    </w:rPr>
                  </w:pPr>
                  <w:r>
                    <w:rPr>
                      <w:rFonts w:hint="eastAsia"/>
                    </w:rPr>
                    <w:t>DA00</w:t>
                  </w:r>
                  <w:r>
                    <w:t>2</w:t>
                  </w:r>
                </w:p>
              </w:tc>
              <w:tc>
                <w:tcPr>
                  <w:tcW w:w="662" w:type="pct"/>
                  <w:tcMar>
                    <w:top w:w="0" w:type="dxa"/>
                    <w:left w:w="28" w:type="dxa"/>
                    <w:bottom w:w="0" w:type="dxa"/>
                    <w:right w:w="28" w:type="dxa"/>
                  </w:tcMar>
                  <w:vAlign w:val="center"/>
                </w:tcPr>
                <w:p w14:paraId="0576896A">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1次/</w:t>
                  </w:r>
                  <w:r>
                    <w:rPr>
                      <w:rFonts w:hint="eastAsia"/>
                      <w:color w:val="000000" w:themeColor="text1"/>
                      <w:szCs w:val="21"/>
                      <w14:textFill>
                        <w14:solidFill>
                          <w14:schemeClr w14:val="tx1"/>
                        </w14:solidFill>
                      </w14:textFill>
                    </w:rPr>
                    <w:t>半</w:t>
                  </w:r>
                  <w:r>
                    <w:rPr>
                      <w:color w:val="000000" w:themeColor="text1"/>
                      <w:szCs w:val="21"/>
                      <w:lang w:val="zh-CN"/>
                      <w14:textFill>
                        <w14:solidFill>
                          <w14:schemeClr w14:val="tx1"/>
                        </w14:solidFill>
                      </w14:textFill>
                    </w:rPr>
                    <w:t>年</w:t>
                  </w:r>
                </w:p>
              </w:tc>
              <w:tc>
                <w:tcPr>
                  <w:tcW w:w="2687" w:type="pct"/>
                  <w:tcMar>
                    <w:top w:w="0" w:type="dxa"/>
                    <w:left w:w="28" w:type="dxa"/>
                    <w:bottom w:w="0" w:type="dxa"/>
                    <w:right w:w="28" w:type="dxa"/>
                  </w:tcMar>
                  <w:vAlign w:val="center"/>
                </w:tcPr>
                <w:p w14:paraId="2F824B8D">
                  <w:pPr>
                    <w:pStyle w:val="86"/>
                    <w:rPr>
                      <w:color w:val="000000"/>
                    </w:rPr>
                  </w:pPr>
                  <w:r>
                    <w:rPr>
                      <w:rFonts w:hint="eastAsia"/>
                      <w:color w:val="000000"/>
                    </w:rPr>
                    <w:t>《合成树脂工业污染物排放标准》（GB 31572-2015）含2024年修改单表5非甲烷总烃有组织排放浓度60 mg/m</w:t>
                  </w:r>
                  <w:r>
                    <w:rPr>
                      <w:rFonts w:hint="eastAsia"/>
                      <w:color w:val="000000"/>
                      <w:vertAlign w:val="superscript"/>
                    </w:rPr>
                    <w:t>3</w:t>
                  </w:r>
                  <w:r>
                    <w:rPr>
                      <w:rFonts w:hint="eastAsia"/>
                      <w:color w:val="000000"/>
                    </w:rPr>
                    <w:t>的限值要求、河南省环境污染防治攻坚领导小组办公室文件《关于全省开展工业企业挥发性有机物专项治理工作中排放建议限值的通知》（豫环攻坚办（2017）162号）中附件1：其他行业有机废气排放口非甲烷总烃建议去除率≥70%的要求、</w:t>
                  </w:r>
                  <w:r>
                    <w:rPr>
                      <w:rFonts w:hint="eastAsia"/>
                    </w:rPr>
                    <w:t>《河南省重污染天气重点行业应急减排措施制定技术指南（2024年修订版）》</w:t>
                  </w:r>
                  <w:r>
                    <w:rPr>
                      <w:rFonts w:hint="eastAsia"/>
                      <w:color w:val="000000"/>
                    </w:rPr>
                    <w:t>中塑料制品行业A级</w:t>
                  </w:r>
                  <w:r>
                    <w:rPr>
                      <w:rFonts w:hint="eastAsia"/>
                      <w:color w:val="000000" w:themeColor="text1"/>
                      <w:szCs w:val="21"/>
                      <w14:textFill>
                        <w14:solidFill>
                          <w14:schemeClr w14:val="tx1"/>
                        </w14:solidFill>
                      </w14:textFill>
                    </w:rPr>
                    <w:t>非甲烷总烃</w:t>
                  </w:r>
                  <w:r>
                    <w:rPr>
                      <w:rFonts w:hint="eastAsia"/>
                      <w:color w:val="000000"/>
                    </w:rPr>
                    <w:t>有组织排放浓度20 mg/m</w:t>
                  </w:r>
                  <w:r>
                    <w:rPr>
                      <w:rFonts w:hint="eastAsia"/>
                      <w:color w:val="000000"/>
                      <w:vertAlign w:val="superscript"/>
                    </w:rPr>
                    <w:t>3</w:t>
                  </w:r>
                  <w:r>
                    <w:rPr>
                      <w:rFonts w:hint="eastAsia"/>
                      <w:color w:val="000000"/>
                    </w:rPr>
                    <w:t>的限值要求</w:t>
                  </w:r>
                </w:p>
              </w:tc>
            </w:tr>
            <w:tr w14:paraId="10A75A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000" w:type="pct"/>
                  <w:gridSpan w:val="5"/>
                  <w:tcMar>
                    <w:top w:w="0" w:type="dxa"/>
                    <w:left w:w="28" w:type="dxa"/>
                    <w:bottom w:w="0" w:type="dxa"/>
                    <w:right w:w="28" w:type="dxa"/>
                  </w:tcMar>
                  <w:vAlign w:val="center"/>
                </w:tcPr>
                <w:p w14:paraId="6B21F455">
                  <w:pPr>
                    <w:autoSpaceDE w:val="0"/>
                    <w:autoSpaceDN w:val="0"/>
                    <w:adjustRightInd w:val="0"/>
                    <w:snapToGrid w:val="0"/>
                    <w:jc w:val="center"/>
                    <w:rPr>
                      <w:b/>
                      <w:bCs/>
                      <w:color w:val="000000" w:themeColor="text1"/>
                      <w:szCs w:val="21"/>
                      <w:lang w:val="zh-CN"/>
                      <w14:textFill>
                        <w14:solidFill>
                          <w14:schemeClr w14:val="tx1"/>
                        </w14:solidFill>
                      </w14:textFill>
                    </w:rPr>
                  </w:pPr>
                  <w:r>
                    <w:rPr>
                      <w:b/>
                      <w:bCs/>
                      <w:color w:val="000000" w:themeColor="text1"/>
                      <w:szCs w:val="21"/>
                      <w:lang w:val="zh-CN"/>
                      <w14:textFill>
                        <w14:solidFill>
                          <w14:schemeClr w14:val="tx1"/>
                        </w14:solidFill>
                      </w14:textFill>
                    </w:rPr>
                    <w:t>无组织废气</w:t>
                  </w:r>
                </w:p>
              </w:tc>
            </w:tr>
            <w:tr w14:paraId="0A7F68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91" w:type="pct"/>
                  <w:tcMar>
                    <w:top w:w="0" w:type="dxa"/>
                    <w:left w:w="28" w:type="dxa"/>
                    <w:bottom w:w="0" w:type="dxa"/>
                    <w:right w:w="28" w:type="dxa"/>
                  </w:tcMar>
                  <w:vAlign w:val="center"/>
                </w:tcPr>
                <w:p w14:paraId="7F3BC045">
                  <w:pPr>
                    <w:autoSpaceDE w:val="0"/>
                    <w:autoSpaceDN w:val="0"/>
                    <w:adjustRightInd w:val="0"/>
                    <w:snapToGrid w:val="0"/>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498" w:type="pct"/>
                  <w:tcMar>
                    <w:top w:w="0" w:type="dxa"/>
                    <w:left w:w="28" w:type="dxa"/>
                    <w:bottom w:w="0" w:type="dxa"/>
                    <w:right w:w="28" w:type="dxa"/>
                  </w:tcMar>
                  <w:vAlign w:val="center"/>
                </w:tcPr>
                <w:p w14:paraId="324C194B">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排放浓度</w:t>
                  </w:r>
                </w:p>
              </w:tc>
              <w:tc>
                <w:tcPr>
                  <w:tcW w:w="662" w:type="pct"/>
                  <w:tcMar>
                    <w:top w:w="0" w:type="dxa"/>
                    <w:left w:w="28" w:type="dxa"/>
                    <w:bottom w:w="0" w:type="dxa"/>
                    <w:right w:w="28" w:type="dxa"/>
                  </w:tcMar>
                  <w:vAlign w:val="center"/>
                </w:tcPr>
                <w:p w14:paraId="2C732066">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厂界</w:t>
                  </w:r>
                </w:p>
              </w:tc>
              <w:tc>
                <w:tcPr>
                  <w:tcW w:w="662" w:type="pct"/>
                  <w:tcMar>
                    <w:top w:w="0" w:type="dxa"/>
                    <w:left w:w="28" w:type="dxa"/>
                    <w:bottom w:w="0" w:type="dxa"/>
                    <w:right w:w="28" w:type="dxa"/>
                  </w:tcMar>
                  <w:vAlign w:val="center"/>
                </w:tcPr>
                <w:p w14:paraId="57AEADD6">
                  <w:pPr>
                    <w:autoSpaceDE w:val="0"/>
                    <w:autoSpaceDN w:val="0"/>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1次/年</w:t>
                  </w:r>
                </w:p>
              </w:tc>
              <w:tc>
                <w:tcPr>
                  <w:tcW w:w="2687" w:type="pct"/>
                  <w:tcMar>
                    <w:top w:w="0" w:type="dxa"/>
                    <w:left w:w="28" w:type="dxa"/>
                    <w:bottom w:w="0" w:type="dxa"/>
                    <w:right w:w="28" w:type="dxa"/>
                  </w:tcMar>
                  <w:vAlign w:val="center"/>
                </w:tcPr>
                <w:p w14:paraId="634FE134">
                  <w:pPr>
                    <w:wordWrap w:val="0"/>
                    <w:autoSpaceDE w:val="0"/>
                    <w:autoSpaceDN w:val="0"/>
                    <w:adjustRightInd w:val="0"/>
                    <w:snapToGrid w:val="0"/>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《关于全省开展工业企业挥发性有机物专项治理工作中排放建议值的通知》（豫环攻坚办</w:t>
                  </w:r>
                  <w:r>
                    <w:rPr>
                      <w:rFonts w:hint="eastAsia" w:ascii="宋体" w:hAnsi="宋体"/>
                    </w:rPr>
                    <w:t>〔</w:t>
                  </w:r>
                  <w:r>
                    <w:t>2017</w:t>
                  </w:r>
                  <w:r>
                    <w:rPr>
                      <w:rFonts w:hint="eastAsia" w:ascii="宋体" w:hAnsi="宋体"/>
                    </w:rPr>
                    <w:t>〕</w:t>
                  </w:r>
                  <w:r>
                    <w:rPr>
                      <w:rFonts w:hint="eastAsia"/>
                      <w:color w:val="000000" w:themeColor="text1"/>
                      <w:szCs w:val="21"/>
                      <w14:textFill>
                        <w14:solidFill>
                          <w14:schemeClr w14:val="tx1"/>
                        </w14:solidFill>
                      </w14:textFill>
                    </w:rPr>
                    <w:t>162号）</w:t>
                  </w:r>
                </w:p>
              </w:tc>
            </w:tr>
          </w:tbl>
          <w:p w14:paraId="4C993880">
            <w:pPr>
              <w:spacing w:line="460" w:lineRule="exact"/>
              <w:ind w:firstLine="482" w:firstLineChars="200"/>
              <w:jc w:val="left"/>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二、废水</w:t>
            </w:r>
          </w:p>
          <w:p w14:paraId="76B7B5EE">
            <w:pPr>
              <w:pStyle w:val="28"/>
              <w:ind w:firstLine="482"/>
              <w:rPr>
                <w:b/>
                <w:bCs/>
              </w:rPr>
            </w:pPr>
            <w:r>
              <w:rPr>
                <w:rFonts w:hint="eastAsia"/>
                <w:b/>
                <w:bCs/>
              </w:rPr>
              <w:t>1、废水污染物产排情况</w:t>
            </w:r>
          </w:p>
          <w:p w14:paraId="4AB0C6A5">
            <w:pPr>
              <w:pStyle w:val="28"/>
              <w:ind w:firstLine="480"/>
            </w:pPr>
            <w:r>
              <w:rPr>
                <w:rFonts w:hint="eastAsia"/>
              </w:rPr>
              <w:t>本项目废水主要是生活污水、循环冷却水排水和清洗废水。其中循环冷却水排水为清净下水，直接回用于清洗工序；清洗废水经厂内一体化污水处理站处理后部分回用于清洗工序，其他部分经管网进入获嘉县香山家园污水处理厂进一步处理；生活污水经化粪池处理后进入获嘉县香山家园污水处理厂进一步处理。</w:t>
            </w:r>
          </w:p>
          <w:p w14:paraId="4D9386F4">
            <w:pPr>
              <w:pStyle w:val="28"/>
              <w:ind w:firstLine="480"/>
            </w:pPr>
            <w:r>
              <w:rPr>
                <w:rFonts w:hint="eastAsia"/>
              </w:rPr>
              <w:t>（1）生活污水</w:t>
            </w:r>
          </w:p>
          <w:p w14:paraId="6DEE3195">
            <w:pPr>
              <w:pStyle w:val="28"/>
              <w:ind w:firstLine="480"/>
            </w:pPr>
            <w:r>
              <w:rPr>
                <w:rFonts w:hint="eastAsia"/>
              </w:rPr>
              <w:t>本项目新增员工20人，三班生产，年工作</w:t>
            </w:r>
            <w:r>
              <w:t>300</w:t>
            </w:r>
            <w:r>
              <w:rPr>
                <w:rFonts w:hint="eastAsia"/>
              </w:rPr>
              <w:t>天，不在厂内食宿，生活用水量按30L/人·d计，则生活用水量为0.6t/d（180t/a），排放系数以0.8计，则生活污水排放量为0.48t/d（144t/a）。类比确定生活污水水质为：COD 350mg/L、SS 200mg/L、NH</w:t>
            </w:r>
            <w:r>
              <w:rPr>
                <w:rFonts w:hint="eastAsia"/>
                <w:vertAlign w:val="subscript"/>
              </w:rPr>
              <w:t>3</w:t>
            </w:r>
            <w:r>
              <w:rPr>
                <w:rFonts w:hint="eastAsia"/>
              </w:rPr>
              <w:t>-N 25mg/L、TP 3mg/L、TN 30mg/L，经化粪池处理后水质为：COD 250mg/L、SS 185mg/L、NH</w:t>
            </w:r>
            <w:r>
              <w:rPr>
                <w:rFonts w:hint="eastAsia"/>
                <w:vertAlign w:val="subscript"/>
              </w:rPr>
              <w:t>3</w:t>
            </w:r>
            <w:r>
              <w:rPr>
                <w:rFonts w:hint="eastAsia"/>
              </w:rPr>
              <w:t>-N 25mg/L、TP 3mg/L、TN 30mg/L。生活污水经化粪池处理后进入获嘉县香山家园污水处理厂进一步处理。</w:t>
            </w:r>
          </w:p>
          <w:p w14:paraId="12852EB3">
            <w:pPr>
              <w:pStyle w:val="28"/>
              <w:ind w:firstLine="480"/>
            </w:pPr>
            <w:r>
              <w:rPr>
                <w:rFonts w:hint="eastAsia"/>
              </w:rPr>
              <w:t>（2）循环冷却水排水</w:t>
            </w:r>
          </w:p>
          <w:p w14:paraId="1AEF0A9B">
            <w:pPr>
              <w:pStyle w:val="28"/>
              <w:ind w:firstLine="480"/>
            </w:pPr>
            <w:r>
              <w:rPr>
                <w:rFonts w:hint="eastAsia"/>
              </w:rPr>
              <w:t>挤出后的塑料条需浸入到冷却水槽中，采用直接冷却法使温度逐渐下降。水与塑料条不发生化学反应，仅会挥发散失，需定期补充。冷却水使用一段时间后需更换新鲜水，更换出的循环冷却水排水为清净下水，直接用于清洗工序。本项目设计2个冷却水槽，尺寸均为长4m</w:t>
            </w:r>
            <w:r>
              <w:t>×</w:t>
            </w:r>
            <w:r>
              <w:rPr>
                <w:rFonts w:hint="eastAsia"/>
              </w:rPr>
              <w:t>宽0.4m</w:t>
            </w:r>
            <w:r>
              <w:t>×</w:t>
            </w:r>
            <w:r>
              <w:rPr>
                <w:rFonts w:hint="eastAsia"/>
              </w:rPr>
              <w:t>高0.3m，水槽内水深为0.2m，水槽每2天更换一次新鲜水，则循环冷却水排水产生量为0.</w:t>
            </w:r>
            <w:r>
              <w:t>16</w:t>
            </w:r>
            <w:r>
              <w:rPr>
                <w:rFonts w:hint="eastAsia"/>
              </w:rPr>
              <w:t>m</w:t>
            </w:r>
            <w:r>
              <w:rPr>
                <w:rFonts w:hint="eastAsia"/>
                <w:vertAlign w:val="superscript"/>
              </w:rPr>
              <w:t>3</w:t>
            </w:r>
            <w:r>
              <w:rPr>
                <w:rFonts w:hint="eastAsia"/>
              </w:rPr>
              <w:t>/d（</w:t>
            </w:r>
            <w:r>
              <w:t>48</w:t>
            </w:r>
            <w:r>
              <w:rPr>
                <w:rFonts w:hint="eastAsia"/>
              </w:rPr>
              <w:t>m</w:t>
            </w:r>
            <w:r>
              <w:rPr>
                <w:rFonts w:hint="eastAsia"/>
                <w:vertAlign w:val="superscript"/>
              </w:rPr>
              <w:t>3</w:t>
            </w:r>
            <w:r>
              <w:rPr>
                <w:rFonts w:hint="eastAsia"/>
              </w:rPr>
              <w:t>/a）。</w:t>
            </w:r>
          </w:p>
          <w:p w14:paraId="7EBCDBD9">
            <w:pPr>
              <w:pStyle w:val="28"/>
              <w:ind w:firstLine="480"/>
            </w:pPr>
            <w:r>
              <w:rPr>
                <w:rFonts w:hint="eastAsia"/>
              </w:rPr>
              <w:t>（3）清洗废水</w:t>
            </w:r>
          </w:p>
          <w:p w14:paraId="24270959">
            <w:pPr>
              <w:pStyle w:val="28"/>
              <w:ind w:firstLine="480"/>
            </w:pPr>
            <w:r>
              <w:rPr>
                <w:rFonts w:hint="eastAsia"/>
              </w:rPr>
              <w:t>本项目原料表面附着物主要为泥土，附着物较少且极易清洗，故原料入厂后不需化学清洗，只需简单使用水进行清洗，清洗过程均不添加化学清洗剂，清洗后进行甩干，清洗目的是为了去除物料表面附着的杂质，清洗过程中需定时补充蒸发及产品带走的水分，保持清洗机水槽内的水位。根据新乡市嘉福宝科技有限公司排污许可证执行年报（2023年）中数据可知，现有工程2023年产能为1800t，清洗废水量为</w:t>
            </w:r>
            <w:r>
              <w:t>480</w:t>
            </w:r>
            <w:r>
              <w:rPr>
                <w:rFonts w:hint="eastAsia"/>
              </w:rPr>
              <w:t xml:space="preserve"> t，即现有工程清洗废水量产生系数为0</w:t>
            </w:r>
            <w:r>
              <w:t>.27</w:t>
            </w:r>
            <w:r>
              <w:rPr>
                <w:rFonts w:hint="eastAsia"/>
              </w:rPr>
              <w:t>t</w:t>
            </w:r>
            <w:r>
              <w:t>/</w:t>
            </w:r>
            <w:r>
              <w:rPr>
                <w:rFonts w:hint="eastAsia"/>
              </w:rPr>
              <w:t>t</w:t>
            </w:r>
            <w:r>
              <w:t>-</w:t>
            </w:r>
            <w:r>
              <w:rPr>
                <w:rFonts w:hint="eastAsia"/>
              </w:rPr>
              <w:t>产品，本项目产能为2</w:t>
            </w:r>
            <w:r>
              <w:t>000</w:t>
            </w:r>
            <w:r>
              <w:rPr>
                <w:rFonts w:hint="eastAsia"/>
              </w:rPr>
              <w:t>t/a，则本项目清洗废水产生量为5</w:t>
            </w:r>
            <w:r>
              <w:t>40</w:t>
            </w:r>
            <w:r>
              <w:rPr>
                <w:rFonts w:hint="eastAsia"/>
              </w:rPr>
              <w:t>t/a。排放的清洗废水引入厂内一体化污水处理站进行处理，处理后部分回用于清洗工序，其余部分经管网排入获嘉县香山家园污水处理厂进一步处理。</w:t>
            </w:r>
          </w:p>
          <w:p w14:paraId="6ADDCAE4">
            <w:pPr>
              <w:pStyle w:val="28"/>
              <w:ind w:firstLine="480"/>
            </w:pPr>
            <w:r>
              <w:rPr>
                <w:rFonts w:hint="eastAsia"/>
              </w:rPr>
              <w:t>本项目与现有工程原辅料、设备、工艺基本一致，具有可类比性。根据河南琢磨检测研究院有限公司于2024年03月11日出具的检测报告（见附件），现有工程污水处理站进口浓度为COD 554-574mg/L、SS 665-676mg/L、NH</w:t>
            </w:r>
            <w:r>
              <w:rPr>
                <w:rFonts w:hint="eastAsia"/>
                <w:vertAlign w:val="subscript"/>
              </w:rPr>
              <w:t>3</w:t>
            </w:r>
            <w:r>
              <w:rPr>
                <w:rFonts w:hint="eastAsia"/>
              </w:rPr>
              <w:t>-N 22.8-24.1mg/L、TP 5.13-5.74mg/L、TN 47.3-51.4mg/L，根据环评最不利原则，本项目清洗废水水质取COD 600mg/L、SS 700mg/L、NH</w:t>
            </w:r>
            <w:r>
              <w:rPr>
                <w:rFonts w:hint="eastAsia"/>
                <w:vertAlign w:val="subscript"/>
              </w:rPr>
              <w:t>3</w:t>
            </w:r>
            <w:r>
              <w:rPr>
                <w:rFonts w:hint="eastAsia"/>
              </w:rPr>
              <w:t>-N 30mg/L、TP 6.00mg/L、TN 60mg/L。</w:t>
            </w:r>
          </w:p>
          <w:p w14:paraId="3A3AB977">
            <w:pPr>
              <w:pStyle w:val="28"/>
              <w:ind w:firstLine="482"/>
              <w:rPr>
                <w:b/>
                <w:bCs/>
              </w:rPr>
            </w:pPr>
            <w:r>
              <w:rPr>
                <w:rFonts w:hint="eastAsia"/>
                <w:b/>
                <w:bCs/>
              </w:rPr>
              <w:t>2、废水处理情况分析</w:t>
            </w:r>
          </w:p>
          <w:p w14:paraId="495CD974">
            <w:pPr>
              <w:pStyle w:val="28"/>
              <w:ind w:firstLine="480"/>
            </w:pPr>
            <w:r>
              <w:rPr>
                <w:rFonts w:hint="eastAsia"/>
              </w:rPr>
              <w:t>工程设计清洗废水采用一体化污水处理站处理后回用于清洗工序，由于塑料清洗用水仅对水中悬浮物含量有较高的要求，为保证回用要求且同时满足获嘉县香山家园污水处理厂收水要求，一体化污水处理站采用“调节池+混凝沉淀+清水回用”（处理规模100m</w:t>
            </w:r>
            <w:r>
              <w:rPr>
                <w:rFonts w:hint="eastAsia"/>
                <w:vertAlign w:val="superscript"/>
              </w:rPr>
              <w:t>3</w:t>
            </w:r>
            <w:r>
              <w:rPr>
                <w:rFonts w:hint="eastAsia"/>
              </w:rPr>
              <w:t>/d）对该部分废水处理。污水由排水系统收集后，经过格栅进入调节池，调节池的作用是均衡水质和水量，调节池中设置液位控制器，再经液位控制仪传递信号，由提升泵送至一体化设备混凝反应区，经过混凝反应后流入沉淀区，该过程将水中污泥留至池底，清水上升至过水堰流入清水池，达标排放。根据《废塑料综合利用行业规范条件》相关规定，废塑料破碎、清洗、分选类企业的综合新水消耗低于0.2m</w:t>
            </w:r>
            <w:r>
              <w:rPr>
                <w:rFonts w:hint="eastAsia"/>
                <w:vertAlign w:val="superscript"/>
              </w:rPr>
              <w:t>3</w:t>
            </w:r>
            <w:r>
              <w:rPr>
                <w:rFonts w:hint="eastAsia"/>
              </w:rPr>
              <w:t>/t废塑料，项目考虑节约用水，清洗废水经污水处理站处理后进行回用，能够满足《废塑料综合利用行业规范条件》相关规定。</w:t>
            </w:r>
          </w:p>
          <w:p w14:paraId="0A0F00B9">
            <w:pPr>
              <w:pStyle w:val="28"/>
              <w:ind w:firstLine="480"/>
            </w:pPr>
            <w:r>
              <w:rPr>
                <w:rFonts w:hint="eastAsia"/>
              </w:rPr>
              <w:t>本项目废水处理工艺主要为“混凝沉淀”，无生化处理，若清洗废水全部回用，长期以往水中会滋生微生物，引起水质变差，处理效率降低，为避免出现以上现象同时考虑到用水、排水的经济成本和环境效益，定期排放清洗废水产生量的</w:t>
            </w:r>
            <w:r>
              <w:t>30</w:t>
            </w:r>
            <w:r>
              <w:rPr>
                <w:rFonts w:hint="eastAsia"/>
              </w:rPr>
              <w:t>%（</w:t>
            </w:r>
            <w:r>
              <w:t>0.54</w:t>
            </w:r>
            <w:r>
              <w:rPr>
                <w:rFonts w:hint="eastAsia"/>
              </w:rPr>
              <w:t>m</w:t>
            </w:r>
            <w:r>
              <w:rPr>
                <w:rFonts w:hint="eastAsia"/>
                <w:vertAlign w:val="superscript"/>
              </w:rPr>
              <w:t>3</w:t>
            </w:r>
            <w:r>
              <w:rPr>
                <w:rFonts w:hint="eastAsia"/>
              </w:rPr>
              <w:t>/d）左右，同时引入循环冷却水排水及新鲜水，保证污水处理措施出水水质的长期稳定达标。</w:t>
            </w:r>
          </w:p>
          <w:p w14:paraId="7EB50ACC">
            <w:pPr>
              <w:pStyle w:val="28"/>
              <w:ind w:firstLine="480"/>
            </w:pPr>
            <w:r>
              <w:rPr>
                <w:rFonts w:hint="eastAsia"/>
              </w:rPr>
              <w:t>本项目清洗过程中不使用清洗剂，清洗目的是为了去除物料表面附着的杂质，废水中COD、TP、NH</w:t>
            </w:r>
            <w:r>
              <w:rPr>
                <w:rFonts w:hint="eastAsia"/>
                <w:vertAlign w:val="subscript"/>
              </w:rPr>
              <w:t>3</w:t>
            </w:r>
            <w:r>
              <w:rPr>
                <w:rFonts w:hint="eastAsia"/>
              </w:rPr>
              <w:t>-N、TN会吸附在废水中的悬浮物上，去除悬浮物的过程中同时会去除废水中的COD、TP、NH</w:t>
            </w:r>
            <w:r>
              <w:rPr>
                <w:rFonts w:hint="eastAsia"/>
                <w:vertAlign w:val="subscript"/>
              </w:rPr>
              <w:t>3</w:t>
            </w:r>
            <w:r>
              <w:rPr>
                <w:rFonts w:hint="eastAsia"/>
              </w:rPr>
              <w:t>-N、TN。现有工程水质及处理工艺与本项目基本一致，根据河南摩尔检测有限公司2023年5月6日出具的检测报告、河南琢磨检测研究院有限公司于2024年03月11日出具的检测报告、验收报告及现有工程排污许可证执行报告内容，现有工程污水处理站对废水污染物的去除效率为COD 54-71%、SS 96-98%、TP 67-89%、NH</w:t>
            </w:r>
            <w:r>
              <w:rPr>
                <w:rFonts w:hint="eastAsia"/>
                <w:vertAlign w:val="subscript"/>
              </w:rPr>
              <w:t>3</w:t>
            </w:r>
            <w:r>
              <w:rPr>
                <w:rFonts w:hint="eastAsia"/>
              </w:rPr>
              <w:t>-N 66-88%、TN 64-70%，按照环评最不利原则，本项目一体化污水处理站设计对废水污染物的去除效率取COD 50%、SS 96%、TP 30%、NH</w:t>
            </w:r>
            <w:r>
              <w:rPr>
                <w:rFonts w:hint="eastAsia"/>
                <w:vertAlign w:val="subscript"/>
              </w:rPr>
              <w:t>3</w:t>
            </w:r>
            <w:r>
              <w:rPr>
                <w:rFonts w:hint="eastAsia"/>
              </w:rPr>
              <w:t>-N 50%、TN 25%，则本项目废水产排情况如下：</w:t>
            </w:r>
          </w:p>
          <w:p w14:paraId="423D1A71">
            <w:pPr>
              <w:pStyle w:val="67"/>
              <w:ind w:firstLine="480"/>
              <w:rPr>
                <w:color w:val="auto"/>
              </w:rPr>
            </w:pPr>
            <w:r>
              <w:rPr>
                <w:rFonts w:hint="eastAsia"/>
                <w:color w:val="auto"/>
              </w:rPr>
              <w:t xml:space="preserve">          本项目废水产排情况一览表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506"/>
              <w:gridCol w:w="2901"/>
              <w:gridCol w:w="830"/>
              <w:gridCol w:w="830"/>
              <w:gridCol w:w="830"/>
              <w:gridCol w:w="830"/>
              <w:gridCol w:w="832"/>
            </w:tblGrid>
            <w:tr w14:paraId="11CCAA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07" w:type="dxa"/>
                  <w:gridSpan w:val="2"/>
                  <w:vMerge w:val="restart"/>
                  <w:tcBorders>
                    <w:top w:val="single" w:color="auto" w:sz="8" w:space="0"/>
                    <w:left w:val="nil"/>
                    <w:bottom w:val="single" w:color="auto" w:sz="4" w:space="0"/>
                    <w:right w:val="single" w:color="auto" w:sz="4" w:space="0"/>
                  </w:tcBorders>
                  <w:vAlign w:val="center"/>
                </w:tcPr>
                <w:p w14:paraId="479EE6E2">
                  <w:pPr>
                    <w:jc w:val="center"/>
                    <w:rPr>
                      <w:rFonts w:cs="宋体"/>
                      <w:b/>
                      <w:szCs w:val="21"/>
                    </w:rPr>
                  </w:pPr>
                  <w:r>
                    <w:rPr>
                      <w:rFonts w:hint="eastAsia" w:ascii="宋体" w:hAnsi="宋体"/>
                      <w:b/>
                    </w:rPr>
                    <w:t>项目</w:t>
                  </w:r>
                </w:p>
              </w:tc>
              <w:tc>
                <w:tcPr>
                  <w:tcW w:w="4152" w:type="dxa"/>
                  <w:gridSpan w:val="5"/>
                  <w:tcBorders>
                    <w:top w:val="single" w:color="auto" w:sz="8" w:space="0"/>
                    <w:left w:val="nil"/>
                    <w:bottom w:val="single" w:color="auto" w:sz="4" w:space="0"/>
                    <w:right w:val="nil"/>
                  </w:tcBorders>
                  <w:vAlign w:val="center"/>
                </w:tcPr>
                <w:p w14:paraId="360C52AE">
                  <w:pPr>
                    <w:jc w:val="center"/>
                    <w:rPr>
                      <w:rFonts w:cs="宋体"/>
                      <w:b/>
                    </w:rPr>
                  </w:pPr>
                  <w:r>
                    <w:rPr>
                      <w:rFonts w:hint="eastAsia" w:ascii="宋体" w:hAnsi="宋体"/>
                      <w:b/>
                    </w:rPr>
                    <w:t>污染物排放浓度（</w:t>
                  </w:r>
                  <w:r>
                    <w:rPr>
                      <w:rFonts w:cs="宋体"/>
                      <w:b/>
                    </w:rPr>
                    <w:t>mg/L</w:t>
                  </w:r>
                  <w:r>
                    <w:rPr>
                      <w:rFonts w:hint="eastAsia" w:ascii="宋体" w:hAnsi="宋体"/>
                      <w:b/>
                    </w:rPr>
                    <w:t>）</w:t>
                  </w:r>
                </w:p>
              </w:tc>
            </w:tr>
            <w:tr w14:paraId="018161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07" w:type="dxa"/>
                  <w:gridSpan w:val="2"/>
                  <w:vMerge w:val="continue"/>
                  <w:tcBorders>
                    <w:top w:val="single" w:color="auto" w:sz="8" w:space="0"/>
                    <w:left w:val="nil"/>
                    <w:bottom w:val="single" w:color="auto" w:sz="4" w:space="0"/>
                    <w:right w:val="single" w:color="auto" w:sz="4" w:space="0"/>
                  </w:tcBorders>
                  <w:vAlign w:val="center"/>
                </w:tcPr>
                <w:p w14:paraId="73ABB582">
                  <w:pPr>
                    <w:widowControl/>
                    <w:jc w:val="left"/>
                    <w:rPr>
                      <w:rFonts w:cs="宋体"/>
                      <w:b/>
                      <w:szCs w:val="21"/>
                    </w:rPr>
                  </w:pPr>
                </w:p>
              </w:tc>
              <w:tc>
                <w:tcPr>
                  <w:tcW w:w="830" w:type="dxa"/>
                  <w:tcBorders>
                    <w:top w:val="single" w:color="auto" w:sz="4" w:space="0"/>
                    <w:left w:val="nil"/>
                    <w:bottom w:val="single" w:color="auto" w:sz="4" w:space="0"/>
                    <w:right w:val="single" w:color="auto" w:sz="4" w:space="0"/>
                  </w:tcBorders>
                  <w:vAlign w:val="center"/>
                </w:tcPr>
                <w:p w14:paraId="1D5F23C8">
                  <w:pPr>
                    <w:jc w:val="center"/>
                    <w:rPr>
                      <w:rFonts w:cs="宋体"/>
                      <w:b/>
                    </w:rPr>
                  </w:pPr>
                  <w:r>
                    <w:rPr>
                      <w:rFonts w:cs="宋体"/>
                      <w:b/>
                    </w:rPr>
                    <w:t>COD</w:t>
                  </w:r>
                </w:p>
              </w:tc>
              <w:tc>
                <w:tcPr>
                  <w:tcW w:w="830" w:type="dxa"/>
                  <w:tcBorders>
                    <w:top w:val="single" w:color="auto" w:sz="4" w:space="0"/>
                    <w:left w:val="nil"/>
                    <w:bottom w:val="single" w:color="auto" w:sz="4" w:space="0"/>
                    <w:right w:val="single" w:color="auto" w:sz="4" w:space="0"/>
                  </w:tcBorders>
                  <w:vAlign w:val="center"/>
                </w:tcPr>
                <w:p w14:paraId="65EC6454">
                  <w:pPr>
                    <w:jc w:val="center"/>
                    <w:rPr>
                      <w:rFonts w:cs="宋体"/>
                      <w:b/>
                    </w:rPr>
                  </w:pPr>
                  <w:r>
                    <w:rPr>
                      <w:rFonts w:cs="宋体"/>
                      <w:b/>
                    </w:rPr>
                    <w:t>SS</w:t>
                  </w:r>
                </w:p>
              </w:tc>
              <w:tc>
                <w:tcPr>
                  <w:tcW w:w="830" w:type="dxa"/>
                  <w:tcBorders>
                    <w:top w:val="single" w:color="auto" w:sz="4" w:space="0"/>
                    <w:left w:val="nil"/>
                    <w:bottom w:val="single" w:color="auto" w:sz="4" w:space="0"/>
                    <w:right w:val="single" w:color="auto" w:sz="4" w:space="0"/>
                  </w:tcBorders>
                  <w:vAlign w:val="center"/>
                </w:tcPr>
                <w:p w14:paraId="38D1DEF4">
                  <w:pPr>
                    <w:jc w:val="center"/>
                    <w:rPr>
                      <w:rFonts w:cs="宋体"/>
                      <w:b/>
                    </w:rPr>
                  </w:pPr>
                  <w:r>
                    <w:rPr>
                      <w:rFonts w:cs="宋体"/>
                      <w:b/>
                    </w:rPr>
                    <w:t>NH</w:t>
                  </w:r>
                  <w:r>
                    <w:rPr>
                      <w:rFonts w:cs="宋体"/>
                      <w:b/>
                      <w:vertAlign w:val="subscript"/>
                    </w:rPr>
                    <w:t>3</w:t>
                  </w:r>
                  <w:r>
                    <w:rPr>
                      <w:rFonts w:cs="宋体"/>
                      <w:b/>
                    </w:rPr>
                    <w:t>-N</w:t>
                  </w:r>
                </w:p>
              </w:tc>
              <w:tc>
                <w:tcPr>
                  <w:tcW w:w="830" w:type="dxa"/>
                  <w:tcBorders>
                    <w:top w:val="single" w:color="auto" w:sz="4" w:space="0"/>
                    <w:left w:val="nil"/>
                    <w:bottom w:val="single" w:color="auto" w:sz="4" w:space="0"/>
                    <w:right w:val="single" w:color="auto" w:sz="4" w:space="0"/>
                  </w:tcBorders>
                  <w:vAlign w:val="center"/>
                </w:tcPr>
                <w:p w14:paraId="66631AD1">
                  <w:pPr>
                    <w:jc w:val="center"/>
                    <w:rPr>
                      <w:rFonts w:cs="宋体"/>
                      <w:b/>
                    </w:rPr>
                  </w:pPr>
                  <w:r>
                    <w:rPr>
                      <w:rFonts w:cs="宋体"/>
                      <w:b/>
                    </w:rPr>
                    <w:t>TP</w:t>
                  </w:r>
                </w:p>
              </w:tc>
              <w:tc>
                <w:tcPr>
                  <w:tcW w:w="832" w:type="dxa"/>
                  <w:tcBorders>
                    <w:top w:val="single" w:color="auto" w:sz="4" w:space="0"/>
                    <w:left w:val="nil"/>
                    <w:bottom w:val="single" w:color="auto" w:sz="4" w:space="0"/>
                    <w:right w:val="nil"/>
                  </w:tcBorders>
                  <w:vAlign w:val="center"/>
                </w:tcPr>
                <w:p w14:paraId="0308BE83">
                  <w:pPr>
                    <w:jc w:val="center"/>
                    <w:rPr>
                      <w:rFonts w:cs="宋体"/>
                      <w:b/>
                    </w:rPr>
                  </w:pPr>
                  <w:r>
                    <w:rPr>
                      <w:rFonts w:cs="宋体"/>
                      <w:b/>
                    </w:rPr>
                    <w:t>TN</w:t>
                  </w:r>
                </w:p>
              </w:tc>
            </w:tr>
            <w:tr w14:paraId="3C94A4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6" w:type="dxa"/>
                  <w:vMerge w:val="restart"/>
                  <w:tcBorders>
                    <w:top w:val="nil"/>
                    <w:left w:val="nil"/>
                    <w:bottom w:val="single" w:color="auto" w:sz="4" w:space="0"/>
                    <w:right w:val="single" w:color="auto" w:sz="4" w:space="0"/>
                  </w:tcBorders>
                  <w:vAlign w:val="center"/>
                </w:tcPr>
                <w:p w14:paraId="7A6A7008">
                  <w:pPr>
                    <w:jc w:val="center"/>
                    <w:rPr>
                      <w:kern w:val="0"/>
                    </w:rPr>
                  </w:pPr>
                  <w:r>
                    <w:rPr>
                      <w:rFonts w:hint="eastAsia" w:ascii="宋体" w:hAnsi="宋体"/>
                    </w:rPr>
                    <w:t>清洗废水</w:t>
                  </w:r>
                </w:p>
              </w:tc>
              <w:tc>
                <w:tcPr>
                  <w:tcW w:w="2901" w:type="dxa"/>
                  <w:tcBorders>
                    <w:top w:val="single" w:color="auto" w:sz="4" w:space="0"/>
                    <w:left w:val="nil"/>
                    <w:bottom w:val="single" w:color="auto" w:sz="4" w:space="0"/>
                    <w:right w:val="single" w:color="auto" w:sz="4" w:space="0"/>
                  </w:tcBorders>
                  <w:vAlign w:val="center"/>
                </w:tcPr>
                <w:p w14:paraId="6058DACA">
                  <w:pPr>
                    <w:jc w:val="center"/>
                    <w:rPr>
                      <w:kern w:val="0"/>
                    </w:rPr>
                  </w:pPr>
                  <w:r>
                    <w:rPr>
                      <w:rFonts w:hint="eastAsia" w:ascii="宋体" w:hAnsi="宋体"/>
                    </w:rPr>
                    <w:t>一体化污水处理站进水（</w:t>
                  </w:r>
                  <w:r>
                    <w:t>1.8m</w:t>
                  </w:r>
                  <w:r>
                    <w:rPr>
                      <w:vertAlign w:val="superscript"/>
                    </w:rPr>
                    <w:t>3</w:t>
                  </w:r>
                  <w:r>
                    <w:rPr>
                      <w:rFonts w:hint="eastAsia"/>
                    </w:rPr>
                    <w:t>/d</w:t>
                  </w:r>
                  <w:r>
                    <w:rPr>
                      <w:rFonts w:hint="eastAsia" w:ascii="宋体" w:hAnsi="宋体"/>
                    </w:rPr>
                    <w:t>）</w:t>
                  </w:r>
                </w:p>
              </w:tc>
              <w:tc>
                <w:tcPr>
                  <w:tcW w:w="830" w:type="dxa"/>
                  <w:tcBorders>
                    <w:top w:val="single" w:color="auto" w:sz="4" w:space="0"/>
                    <w:left w:val="nil"/>
                    <w:bottom w:val="single" w:color="auto" w:sz="4" w:space="0"/>
                    <w:right w:val="single" w:color="auto" w:sz="4" w:space="0"/>
                  </w:tcBorders>
                  <w:vAlign w:val="center"/>
                </w:tcPr>
                <w:p w14:paraId="4BCE6933">
                  <w:pPr>
                    <w:pStyle w:val="86"/>
                  </w:pPr>
                  <w:r>
                    <w:rPr>
                      <w:rFonts w:hint="eastAsia"/>
                    </w:rPr>
                    <w:t>600.00</w:t>
                  </w:r>
                  <w:r>
                    <w:t xml:space="preserve"> </w:t>
                  </w:r>
                </w:p>
              </w:tc>
              <w:tc>
                <w:tcPr>
                  <w:tcW w:w="830" w:type="dxa"/>
                  <w:tcBorders>
                    <w:top w:val="single" w:color="auto" w:sz="4" w:space="0"/>
                    <w:left w:val="nil"/>
                    <w:bottom w:val="single" w:color="auto" w:sz="4" w:space="0"/>
                    <w:right w:val="single" w:color="auto" w:sz="4" w:space="0"/>
                  </w:tcBorders>
                  <w:vAlign w:val="center"/>
                </w:tcPr>
                <w:p w14:paraId="48A69FFF">
                  <w:pPr>
                    <w:pStyle w:val="86"/>
                  </w:pPr>
                  <w:r>
                    <w:rPr>
                      <w:rFonts w:hint="eastAsia"/>
                    </w:rPr>
                    <w:t>700.00</w:t>
                  </w:r>
                  <w:r>
                    <w:t xml:space="preserve"> </w:t>
                  </w:r>
                </w:p>
              </w:tc>
              <w:tc>
                <w:tcPr>
                  <w:tcW w:w="830" w:type="dxa"/>
                  <w:tcBorders>
                    <w:top w:val="single" w:color="auto" w:sz="4" w:space="0"/>
                    <w:left w:val="nil"/>
                    <w:bottom w:val="single" w:color="auto" w:sz="4" w:space="0"/>
                    <w:right w:val="single" w:color="auto" w:sz="4" w:space="0"/>
                  </w:tcBorders>
                  <w:vAlign w:val="center"/>
                </w:tcPr>
                <w:p w14:paraId="3B54C4A4">
                  <w:pPr>
                    <w:pStyle w:val="86"/>
                  </w:pPr>
                  <w:r>
                    <w:rPr>
                      <w:rFonts w:hint="eastAsia"/>
                    </w:rPr>
                    <w:t>30.00</w:t>
                  </w:r>
                </w:p>
              </w:tc>
              <w:tc>
                <w:tcPr>
                  <w:tcW w:w="830" w:type="dxa"/>
                  <w:tcBorders>
                    <w:top w:val="single" w:color="auto" w:sz="4" w:space="0"/>
                    <w:left w:val="nil"/>
                    <w:bottom w:val="single" w:color="auto" w:sz="4" w:space="0"/>
                    <w:right w:val="single" w:color="auto" w:sz="4" w:space="0"/>
                  </w:tcBorders>
                  <w:vAlign w:val="center"/>
                </w:tcPr>
                <w:p w14:paraId="3E089A99">
                  <w:pPr>
                    <w:pStyle w:val="86"/>
                  </w:pPr>
                  <w:r>
                    <w:rPr>
                      <w:rFonts w:hint="eastAsia"/>
                    </w:rPr>
                    <w:t>6.00</w:t>
                  </w:r>
                </w:p>
              </w:tc>
              <w:tc>
                <w:tcPr>
                  <w:tcW w:w="832" w:type="dxa"/>
                  <w:tcBorders>
                    <w:top w:val="single" w:color="auto" w:sz="4" w:space="0"/>
                    <w:left w:val="nil"/>
                    <w:bottom w:val="single" w:color="auto" w:sz="4" w:space="0"/>
                    <w:right w:val="nil"/>
                  </w:tcBorders>
                  <w:vAlign w:val="center"/>
                </w:tcPr>
                <w:p w14:paraId="6B1FC34F">
                  <w:pPr>
                    <w:pStyle w:val="86"/>
                  </w:pPr>
                  <w:r>
                    <w:rPr>
                      <w:rFonts w:hint="eastAsia"/>
                    </w:rPr>
                    <w:t>60.00</w:t>
                  </w:r>
                  <w:r>
                    <w:t xml:space="preserve"> </w:t>
                  </w:r>
                </w:p>
              </w:tc>
            </w:tr>
            <w:tr w14:paraId="7ACCC7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6" w:type="dxa"/>
                  <w:vMerge w:val="continue"/>
                  <w:tcBorders>
                    <w:top w:val="nil"/>
                    <w:left w:val="nil"/>
                    <w:bottom w:val="single" w:color="auto" w:sz="4" w:space="0"/>
                    <w:right w:val="single" w:color="auto" w:sz="4" w:space="0"/>
                  </w:tcBorders>
                  <w:vAlign w:val="center"/>
                </w:tcPr>
                <w:p w14:paraId="2D847864">
                  <w:pPr>
                    <w:widowControl/>
                    <w:jc w:val="left"/>
                    <w:rPr>
                      <w:kern w:val="0"/>
                      <w:szCs w:val="21"/>
                    </w:rPr>
                  </w:pPr>
                </w:p>
              </w:tc>
              <w:tc>
                <w:tcPr>
                  <w:tcW w:w="2901" w:type="dxa"/>
                  <w:tcBorders>
                    <w:top w:val="single" w:color="auto" w:sz="4" w:space="0"/>
                    <w:left w:val="nil"/>
                    <w:bottom w:val="single" w:color="auto" w:sz="4" w:space="0"/>
                    <w:right w:val="single" w:color="auto" w:sz="4" w:space="0"/>
                  </w:tcBorders>
                  <w:vAlign w:val="center"/>
                </w:tcPr>
                <w:p w14:paraId="4E0B5537">
                  <w:pPr>
                    <w:jc w:val="center"/>
                    <w:rPr>
                      <w:kern w:val="0"/>
                    </w:rPr>
                  </w:pPr>
                  <w:r>
                    <w:rPr>
                      <w:rFonts w:hint="eastAsia" w:ascii="宋体" w:hAnsi="宋体"/>
                    </w:rPr>
                    <w:t>处理效率（</w:t>
                  </w:r>
                  <w:r>
                    <w:rPr>
                      <w:rFonts w:hint="eastAsia"/>
                    </w:rPr>
                    <w:t>%</w:t>
                  </w:r>
                  <w:r>
                    <w:rPr>
                      <w:rFonts w:hint="eastAsia" w:ascii="宋体" w:hAnsi="宋体"/>
                    </w:rPr>
                    <w:t>）</w:t>
                  </w:r>
                </w:p>
              </w:tc>
              <w:tc>
                <w:tcPr>
                  <w:tcW w:w="830" w:type="dxa"/>
                  <w:tcBorders>
                    <w:top w:val="single" w:color="auto" w:sz="4" w:space="0"/>
                    <w:left w:val="nil"/>
                    <w:bottom w:val="single" w:color="auto" w:sz="4" w:space="0"/>
                    <w:right w:val="single" w:color="auto" w:sz="4" w:space="0"/>
                  </w:tcBorders>
                  <w:vAlign w:val="center"/>
                </w:tcPr>
                <w:p w14:paraId="23D1045C">
                  <w:pPr>
                    <w:pStyle w:val="86"/>
                  </w:pPr>
                  <w:r>
                    <w:rPr>
                      <w:rFonts w:hint="eastAsia"/>
                    </w:rPr>
                    <w:t>50</w:t>
                  </w:r>
                </w:p>
              </w:tc>
              <w:tc>
                <w:tcPr>
                  <w:tcW w:w="830" w:type="dxa"/>
                  <w:tcBorders>
                    <w:top w:val="single" w:color="auto" w:sz="4" w:space="0"/>
                    <w:left w:val="nil"/>
                    <w:bottom w:val="single" w:color="auto" w:sz="4" w:space="0"/>
                    <w:right w:val="single" w:color="auto" w:sz="4" w:space="0"/>
                  </w:tcBorders>
                  <w:vAlign w:val="center"/>
                </w:tcPr>
                <w:p w14:paraId="24A10E0C">
                  <w:pPr>
                    <w:pStyle w:val="86"/>
                  </w:pPr>
                  <w:r>
                    <w:rPr>
                      <w:rFonts w:hint="eastAsia"/>
                    </w:rPr>
                    <w:t>96</w:t>
                  </w:r>
                </w:p>
              </w:tc>
              <w:tc>
                <w:tcPr>
                  <w:tcW w:w="830" w:type="dxa"/>
                  <w:tcBorders>
                    <w:top w:val="single" w:color="auto" w:sz="4" w:space="0"/>
                    <w:left w:val="nil"/>
                    <w:bottom w:val="single" w:color="auto" w:sz="4" w:space="0"/>
                    <w:right w:val="single" w:color="auto" w:sz="4" w:space="0"/>
                  </w:tcBorders>
                  <w:vAlign w:val="center"/>
                </w:tcPr>
                <w:p w14:paraId="51A4A6EB">
                  <w:pPr>
                    <w:pStyle w:val="86"/>
                  </w:pPr>
                  <w:r>
                    <w:rPr>
                      <w:rFonts w:hint="eastAsia"/>
                    </w:rPr>
                    <w:t>30</w:t>
                  </w:r>
                </w:p>
              </w:tc>
              <w:tc>
                <w:tcPr>
                  <w:tcW w:w="830" w:type="dxa"/>
                  <w:tcBorders>
                    <w:top w:val="single" w:color="auto" w:sz="4" w:space="0"/>
                    <w:left w:val="nil"/>
                    <w:bottom w:val="single" w:color="auto" w:sz="4" w:space="0"/>
                    <w:right w:val="single" w:color="auto" w:sz="4" w:space="0"/>
                  </w:tcBorders>
                  <w:vAlign w:val="center"/>
                </w:tcPr>
                <w:p w14:paraId="34A466EE">
                  <w:pPr>
                    <w:pStyle w:val="86"/>
                  </w:pPr>
                  <w:r>
                    <w:rPr>
                      <w:rFonts w:hint="eastAsia"/>
                    </w:rPr>
                    <w:t>50</w:t>
                  </w:r>
                </w:p>
              </w:tc>
              <w:tc>
                <w:tcPr>
                  <w:tcW w:w="832" w:type="dxa"/>
                  <w:tcBorders>
                    <w:top w:val="single" w:color="auto" w:sz="4" w:space="0"/>
                    <w:left w:val="nil"/>
                    <w:bottom w:val="single" w:color="auto" w:sz="4" w:space="0"/>
                    <w:right w:val="nil"/>
                  </w:tcBorders>
                  <w:vAlign w:val="center"/>
                </w:tcPr>
                <w:p w14:paraId="220D7EF8">
                  <w:pPr>
                    <w:pStyle w:val="86"/>
                  </w:pPr>
                  <w:r>
                    <w:rPr>
                      <w:rFonts w:hint="eastAsia"/>
                    </w:rPr>
                    <w:t>25</w:t>
                  </w:r>
                </w:p>
              </w:tc>
            </w:tr>
            <w:tr w14:paraId="6A7DD8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6" w:type="dxa"/>
                  <w:vMerge w:val="continue"/>
                  <w:tcBorders>
                    <w:top w:val="nil"/>
                    <w:left w:val="nil"/>
                    <w:bottom w:val="single" w:color="auto" w:sz="4" w:space="0"/>
                    <w:right w:val="single" w:color="auto" w:sz="4" w:space="0"/>
                  </w:tcBorders>
                  <w:vAlign w:val="center"/>
                </w:tcPr>
                <w:p w14:paraId="1CFB8C8B">
                  <w:pPr>
                    <w:widowControl/>
                    <w:jc w:val="left"/>
                    <w:rPr>
                      <w:kern w:val="0"/>
                      <w:szCs w:val="21"/>
                    </w:rPr>
                  </w:pPr>
                </w:p>
              </w:tc>
              <w:tc>
                <w:tcPr>
                  <w:tcW w:w="2901" w:type="dxa"/>
                  <w:tcBorders>
                    <w:top w:val="single" w:color="auto" w:sz="4" w:space="0"/>
                    <w:left w:val="nil"/>
                    <w:bottom w:val="single" w:color="auto" w:sz="4" w:space="0"/>
                    <w:right w:val="single" w:color="auto" w:sz="4" w:space="0"/>
                  </w:tcBorders>
                  <w:vAlign w:val="center"/>
                </w:tcPr>
                <w:p w14:paraId="794B6ADD">
                  <w:pPr>
                    <w:jc w:val="center"/>
                    <w:rPr>
                      <w:kern w:val="0"/>
                    </w:rPr>
                  </w:pPr>
                  <w:r>
                    <w:rPr>
                      <w:rFonts w:hint="eastAsia" w:ascii="宋体" w:hAnsi="宋体"/>
                    </w:rPr>
                    <w:t>一体化污水处理站出水（</w:t>
                  </w:r>
                  <w:r>
                    <w:t>1.8m</w:t>
                  </w:r>
                  <w:r>
                    <w:rPr>
                      <w:vertAlign w:val="superscript"/>
                    </w:rPr>
                    <w:t>3</w:t>
                  </w:r>
                  <w:r>
                    <w:rPr>
                      <w:rFonts w:hint="eastAsia"/>
                    </w:rPr>
                    <w:t>/d</w:t>
                  </w:r>
                  <w:r>
                    <w:rPr>
                      <w:rFonts w:hint="eastAsia" w:ascii="宋体" w:hAnsi="宋体"/>
                    </w:rPr>
                    <w:t>）</w:t>
                  </w:r>
                </w:p>
              </w:tc>
              <w:tc>
                <w:tcPr>
                  <w:tcW w:w="830" w:type="dxa"/>
                  <w:tcBorders>
                    <w:top w:val="single" w:color="auto" w:sz="4" w:space="0"/>
                    <w:left w:val="nil"/>
                    <w:bottom w:val="single" w:color="auto" w:sz="4" w:space="0"/>
                    <w:right w:val="single" w:color="auto" w:sz="4" w:space="0"/>
                  </w:tcBorders>
                  <w:vAlign w:val="center"/>
                </w:tcPr>
                <w:p w14:paraId="5D4F8D3B">
                  <w:pPr>
                    <w:pStyle w:val="86"/>
                  </w:pPr>
                  <w:r>
                    <w:t xml:space="preserve">300.00 </w:t>
                  </w:r>
                </w:p>
              </w:tc>
              <w:tc>
                <w:tcPr>
                  <w:tcW w:w="830" w:type="dxa"/>
                  <w:tcBorders>
                    <w:top w:val="single" w:color="auto" w:sz="4" w:space="0"/>
                    <w:left w:val="nil"/>
                    <w:bottom w:val="single" w:color="auto" w:sz="4" w:space="0"/>
                    <w:right w:val="single" w:color="auto" w:sz="4" w:space="0"/>
                  </w:tcBorders>
                  <w:vAlign w:val="center"/>
                </w:tcPr>
                <w:p w14:paraId="4FE9EE78">
                  <w:pPr>
                    <w:pStyle w:val="86"/>
                  </w:pPr>
                  <w:r>
                    <w:t xml:space="preserve">28.00 </w:t>
                  </w:r>
                </w:p>
              </w:tc>
              <w:tc>
                <w:tcPr>
                  <w:tcW w:w="830" w:type="dxa"/>
                  <w:tcBorders>
                    <w:top w:val="single" w:color="auto" w:sz="4" w:space="0"/>
                    <w:left w:val="nil"/>
                    <w:bottom w:val="single" w:color="auto" w:sz="4" w:space="0"/>
                    <w:right w:val="single" w:color="auto" w:sz="4" w:space="0"/>
                  </w:tcBorders>
                  <w:vAlign w:val="center"/>
                </w:tcPr>
                <w:p w14:paraId="5C6E49DC">
                  <w:pPr>
                    <w:pStyle w:val="86"/>
                  </w:pPr>
                  <w:r>
                    <w:t xml:space="preserve">21.00 </w:t>
                  </w:r>
                </w:p>
              </w:tc>
              <w:tc>
                <w:tcPr>
                  <w:tcW w:w="830" w:type="dxa"/>
                  <w:tcBorders>
                    <w:top w:val="single" w:color="auto" w:sz="4" w:space="0"/>
                    <w:left w:val="nil"/>
                    <w:bottom w:val="single" w:color="auto" w:sz="4" w:space="0"/>
                    <w:right w:val="single" w:color="auto" w:sz="4" w:space="0"/>
                  </w:tcBorders>
                  <w:vAlign w:val="center"/>
                </w:tcPr>
                <w:p w14:paraId="0E1455B7">
                  <w:pPr>
                    <w:pStyle w:val="86"/>
                  </w:pPr>
                  <w:r>
                    <w:t xml:space="preserve">3.00 </w:t>
                  </w:r>
                </w:p>
              </w:tc>
              <w:tc>
                <w:tcPr>
                  <w:tcW w:w="832" w:type="dxa"/>
                  <w:tcBorders>
                    <w:top w:val="single" w:color="auto" w:sz="4" w:space="0"/>
                    <w:left w:val="nil"/>
                    <w:bottom w:val="single" w:color="auto" w:sz="4" w:space="0"/>
                    <w:right w:val="nil"/>
                  </w:tcBorders>
                  <w:vAlign w:val="center"/>
                </w:tcPr>
                <w:p w14:paraId="3D290A53">
                  <w:pPr>
                    <w:pStyle w:val="86"/>
                  </w:pPr>
                  <w:r>
                    <w:t xml:space="preserve">45.00 </w:t>
                  </w:r>
                </w:p>
              </w:tc>
            </w:tr>
            <w:tr w14:paraId="233CF4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6" w:type="dxa"/>
                  <w:vMerge w:val="restart"/>
                  <w:tcBorders>
                    <w:top w:val="nil"/>
                    <w:left w:val="nil"/>
                    <w:right w:val="single" w:color="auto" w:sz="4" w:space="0"/>
                  </w:tcBorders>
                  <w:vAlign w:val="center"/>
                </w:tcPr>
                <w:p w14:paraId="63B7F74F">
                  <w:pPr>
                    <w:pStyle w:val="86"/>
                    <w:rPr>
                      <w:szCs w:val="21"/>
                    </w:rPr>
                  </w:pPr>
                  <w:r>
                    <w:rPr>
                      <w:rFonts w:hint="eastAsia" w:ascii="宋体" w:hAnsi="宋体"/>
                    </w:rPr>
                    <w:t>一体化</w:t>
                  </w:r>
                  <w:r>
                    <w:t>污水处理站出水</w:t>
                  </w:r>
                </w:p>
              </w:tc>
              <w:tc>
                <w:tcPr>
                  <w:tcW w:w="2901" w:type="dxa"/>
                  <w:tcBorders>
                    <w:top w:val="single" w:color="auto" w:sz="4" w:space="0"/>
                    <w:left w:val="nil"/>
                    <w:bottom w:val="single" w:color="auto" w:sz="4" w:space="0"/>
                    <w:right w:val="single" w:color="auto" w:sz="4" w:space="0"/>
                  </w:tcBorders>
                  <w:vAlign w:val="center"/>
                </w:tcPr>
                <w:p w14:paraId="2397901B">
                  <w:pPr>
                    <w:pStyle w:val="86"/>
                  </w:pPr>
                  <w:r>
                    <w:rPr>
                      <w:rFonts w:hint="eastAsia"/>
                    </w:rPr>
                    <w:t>回用水</w:t>
                  </w:r>
                  <w:r>
                    <w:t>（1.26m</w:t>
                  </w:r>
                  <w:r>
                    <w:rPr>
                      <w:vertAlign w:val="superscript"/>
                    </w:rPr>
                    <w:t>3</w:t>
                  </w:r>
                  <w:r>
                    <w:rPr>
                      <w:rFonts w:hint="eastAsia"/>
                    </w:rPr>
                    <w:t>/d</w:t>
                  </w:r>
                  <w:r>
                    <w:t>）</w:t>
                  </w:r>
                </w:p>
              </w:tc>
              <w:tc>
                <w:tcPr>
                  <w:tcW w:w="830" w:type="dxa"/>
                  <w:tcBorders>
                    <w:top w:val="single" w:color="auto" w:sz="4" w:space="0"/>
                    <w:left w:val="nil"/>
                    <w:bottom w:val="single" w:color="auto" w:sz="4" w:space="0"/>
                    <w:right w:val="single" w:color="auto" w:sz="4" w:space="0"/>
                  </w:tcBorders>
                  <w:vAlign w:val="center"/>
                </w:tcPr>
                <w:p w14:paraId="08801FB3">
                  <w:pPr>
                    <w:pStyle w:val="86"/>
                  </w:pPr>
                  <w:r>
                    <w:t xml:space="preserve">300.00 </w:t>
                  </w:r>
                </w:p>
              </w:tc>
              <w:tc>
                <w:tcPr>
                  <w:tcW w:w="830" w:type="dxa"/>
                  <w:tcBorders>
                    <w:top w:val="single" w:color="auto" w:sz="4" w:space="0"/>
                    <w:left w:val="nil"/>
                    <w:bottom w:val="single" w:color="auto" w:sz="4" w:space="0"/>
                    <w:right w:val="single" w:color="auto" w:sz="4" w:space="0"/>
                  </w:tcBorders>
                  <w:vAlign w:val="center"/>
                </w:tcPr>
                <w:p w14:paraId="364CB8DF">
                  <w:pPr>
                    <w:pStyle w:val="86"/>
                  </w:pPr>
                  <w:r>
                    <w:t xml:space="preserve">28.00 </w:t>
                  </w:r>
                </w:p>
              </w:tc>
              <w:tc>
                <w:tcPr>
                  <w:tcW w:w="830" w:type="dxa"/>
                  <w:tcBorders>
                    <w:top w:val="single" w:color="auto" w:sz="4" w:space="0"/>
                    <w:left w:val="nil"/>
                    <w:bottom w:val="single" w:color="auto" w:sz="4" w:space="0"/>
                    <w:right w:val="single" w:color="auto" w:sz="4" w:space="0"/>
                  </w:tcBorders>
                  <w:vAlign w:val="center"/>
                </w:tcPr>
                <w:p w14:paraId="385D083F">
                  <w:pPr>
                    <w:pStyle w:val="86"/>
                  </w:pPr>
                  <w:r>
                    <w:t xml:space="preserve">21.00 </w:t>
                  </w:r>
                </w:p>
              </w:tc>
              <w:tc>
                <w:tcPr>
                  <w:tcW w:w="830" w:type="dxa"/>
                  <w:tcBorders>
                    <w:top w:val="single" w:color="auto" w:sz="4" w:space="0"/>
                    <w:left w:val="nil"/>
                    <w:bottom w:val="single" w:color="auto" w:sz="4" w:space="0"/>
                    <w:right w:val="single" w:color="auto" w:sz="4" w:space="0"/>
                  </w:tcBorders>
                  <w:vAlign w:val="center"/>
                </w:tcPr>
                <w:p w14:paraId="64122C6E">
                  <w:pPr>
                    <w:pStyle w:val="86"/>
                  </w:pPr>
                  <w:r>
                    <w:t xml:space="preserve">3.00 </w:t>
                  </w:r>
                </w:p>
              </w:tc>
              <w:tc>
                <w:tcPr>
                  <w:tcW w:w="832" w:type="dxa"/>
                  <w:tcBorders>
                    <w:top w:val="single" w:color="auto" w:sz="4" w:space="0"/>
                    <w:left w:val="nil"/>
                    <w:bottom w:val="single" w:color="auto" w:sz="4" w:space="0"/>
                    <w:right w:val="nil"/>
                  </w:tcBorders>
                  <w:vAlign w:val="center"/>
                </w:tcPr>
                <w:p w14:paraId="283F661B">
                  <w:pPr>
                    <w:pStyle w:val="86"/>
                  </w:pPr>
                  <w:r>
                    <w:t xml:space="preserve">45.00 </w:t>
                  </w:r>
                </w:p>
              </w:tc>
            </w:tr>
            <w:tr w14:paraId="2E3DB5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6" w:type="dxa"/>
                  <w:vMerge w:val="continue"/>
                  <w:tcBorders>
                    <w:left w:val="nil"/>
                    <w:bottom w:val="single" w:color="auto" w:sz="4" w:space="0"/>
                    <w:right w:val="single" w:color="auto" w:sz="4" w:space="0"/>
                  </w:tcBorders>
                  <w:vAlign w:val="center"/>
                </w:tcPr>
                <w:p w14:paraId="746D3833">
                  <w:pPr>
                    <w:pStyle w:val="86"/>
                    <w:rPr>
                      <w:szCs w:val="21"/>
                    </w:rPr>
                  </w:pPr>
                </w:p>
              </w:tc>
              <w:tc>
                <w:tcPr>
                  <w:tcW w:w="2901" w:type="dxa"/>
                  <w:tcBorders>
                    <w:top w:val="single" w:color="auto" w:sz="4" w:space="0"/>
                    <w:left w:val="nil"/>
                    <w:bottom w:val="single" w:color="auto" w:sz="4" w:space="0"/>
                    <w:right w:val="single" w:color="auto" w:sz="4" w:space="0"/>
                  </w:tcBorders>
                  <w:vAlign w:val="center"/>
                </w:tcPr>
                <w:p w14:paraId="1D11E38E">
                  <w:pPr>
                    <w:pStyle w:val="86"/>
                  </w:pPr>
                  <w:r>
                    <w:rPr>
                      <w:rFonts w:hint="eastAsia"/>
                    </w:rPr>
                    <w:t>外排</w:t>
                  </w:r>
                  <w:r>
                    <w:t>（0.54m</w:t>
                  </w:r>
                  <w:r>
                    <w:rPr>
                      <w:vertAlign w:val="superscript"/>
                    </w:rPr>
                    <w:t>3</w:t>
                  </w:r>
                  <w:r>
                    <w:rPr>
                      <w:rFonts w:hint="eastAsia"/>
                    </w:rPr>
                    <w:t>/d</w:t>
                  </w:r>
                  <w:r>
                    <w:t>）</w:t>
                  </w:r>
                </w:p>
              </w:tc>
              <w:tc>
                <w:tcPr>
                  <w:tcW w:w="830" w:type="dxa"/>
                  <w:tcBorders>
                    <w:top w:val="single" w:color="auto" w:sz="4" w:space="0"/>
                    <w:left w:val="nil"/>
                    <w:bottom w:val="single" w:color="auto" w:sz="4" w:space="0"/>
                    <w:right w:val="single" w:color="auto" w:sz="4" w:space="0"/>
                  </w:tcBorders>
                  <w:vAlign w:val="center"/>
                </w:tcPr>
                <w:p w14:paraId="52538F22">
                  <w:pPr>
                    <w:pStyle w:val="86"/>
                  </w:pPr>
                  <w:r>
                    <w:t xml:space="preserve">300.00 </w:t>
                  </w:r>
                </w:p>
              </w:tc>
              <w:tc>
                <w:tcPr>
                  <w:tcW w:w="830" w:type="dxa"/>
                  <w:tcBorders>
                    <w:top w:val="single" w:color="auto" w:sz="4" w:space="0"/>
                    <w:left w:val="nil"/>
                    <w:bottom w:val="single" w:color="auto" w:sz="4" w:space="0"/>
                    <w:right w:val="single" w:color="auto" w:sz="4" w:space="0"/>
                  </w:tcBorders>
                  <w:vAlign w:val="center"/>
                </w:tcPr>
                <w:p w14:paraId="6AA6EF4E">
                  <w:pPr>
                    <w:pStyle w:val="86"/>
                  </w:pPr>
                  <w:r>
                    <w:t xml:space="preserve">28.00 </w:t>
                  </w:r>
                </w:p>
              </w:tc>
              <w:tc>
                <w:tcPr>
                  <w:tcW w:w="830" w:type="dxa"/>
                  <w:tcBorders>
                    <w:top w:val="single" w:color="auto" w:sz="4" w:space="0"/>
                    <w:left w:val="nil"/>
                    <w:bottom w:val="single" w:color="auto" w:sz="4" w:space="0"/>
                    <w:right w:val="single" w:color="auto" w:sz="4" w:space="0"/>
                  </w:tcBorders>
                  <w:vAlign w:val="center"/>
                </w:tcPr>
                <w:p w14:paraId="21376904">
                  <w:pPr>
                    <w:pStyle w:val="86"/>
                  </w:pPr>
                  <w:r>
                    <w:t xml:space="preserve">21.00 </w:t>
                  </w:r>
                </w:p>
              </w:tc>
              <w:tc>
                <w:tcPr>
                  <w:tcW w:w="830" w:type="dxa"/>
                  <w:tcBorders>
                    <w:top w:val="single" w:color="auto" w:sz="4" w:space="0"/>
                    <w:left w:val="nil"/>
                    <w:bottom w:val="single" w:color="auto" w:sz="4" w:space="0"/>
                    <w:right w:val="single" w:color="auto" w:sz="4" w:space="0"/>
                  </w:tcBorders>
                  <w:vAlign w:val="center"/>
                </w:tcPr>
                <w:p w14:paraId="65C48496">
                  <w:pPr>
                    <w:pStyle w:val="86"/>
                  </w:pPr>
                  <w:r>
                    <w:t xml:space="preserve">3.00 </w:t>
                  </w:r>
                </w:p>
              </w:tc>
              <w:tc>
                <w:tcPr>
                  <w:tcW w:w="832" w:type="dxa"/>
                  <w:tcBorders>
                    <w:top w:val="single" w:color="auto" w:sz="4" w:space="0"/>
                    <w:left w:val="nil"/>
                    <w:bottom w:val="single" w:color="auto" w:sz="4" w:space="0"/>
                    <w:right w:val="nil"/>
                  </w:tcBorders>
                  <w:vAlign w:val="center"/>
                </w:tcPr>
                <w:p w14:paraId="3F1F48EE">
                  <w:pPr>
                    <w:pStyle w:val="86"/>
                  </w:pPr>
                  <w:r>
                    <w:t xml:space="preserve">45.00 </w:t>
                  </w:r>
                </w:p>
              </w:tc>
            </w:tr>
            <w:tr w14:paraId="2A0B65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07" w:type="dxa"/>
                  <w:gridSpan w:val="2"/>
                  <w:tcBorders>
                    <w:top w:val="single" w:color="auto" w:sz="4" w:space="0"/>
                    <w:left w:val="nil"/>
                    <w:bottom w:val="single" w:color="auto" w:sz="4" w:space="0"/>
                    <w:right w:val="single" w:color="auto" w:sz="4" w:space="0"/>
                  </w:tcBorders>
                  <w:vAlign w:val="center"/>
                </w:tcPr>
                <w:p w14:paraId="4E3AFA98">
                  <w:pPr>
                    <w:jc w:val="center"/>
                  </w:pPr>
                  <w:r>
                    <w:rPr>
                      <w:rFonts w:hint="eastAsia" w:ascii="宋体" w:hAnsi="宋体"/>
                    </w:rPr>
                    <w:t>《城市污水再生利用</w:t>
                  </w:r>
                  <w:r>
                    <w:t xml:space="preserve"> </w:t>
                  </w:r>
                  <w:r>
                    <w:rPr>
                      <w:rFonts w:hint="eastAsia" w:ascii="宋体" w:hAnsi="宋体"/>
                    </w:rPr>
                    <w:t>工业用水水质》（</w:t>
                  </w:r>
                  <w:r>
                    <w:t>GB/T 19923-2005</w:t>
                  </w:r>
                  <w:r>
                    <w:rPr>
                      <w:rFonts w:hint="eastAsia" w:ascii="宋体" w:hAnsi="宋体"/>
                    </w:rPr>
                    <w:t>）中回用于洗涤用水</w:t>
                  </w:r>
                </w:p>
              </w:tc>
              <w:tc>
                <w:tcPr>
                  <w:tcW w:w="830" w:type="dxa"/>
                  <w:tcBorders>
                    <w:top w:val="single" w:color="auto" w:sz="4" w:space="0"/>
                    <w:left w:val="nil"/>
                    <w:bottom w:val="single" w:color="auto" w:sz="4" w:space="0"/>
                    <w:right w:val="single" w:color="auto" w:sz="4" w:space="0"/>
                  </w:tcBorders>
                  <w:vAlign w:val="center"/>
                </w:tcPr>
                <w:p w14:paraId="47AC7DFF">
                  <w:pPr>
                    <w:jc w:val="center"/>
                    <w:rPr>
                      <w:kern w:val="0"/>
                    </w:rPr>
                  </w:pPr>
                  <w:r>
                    <w:rPr>
                      <w:rFonts w:hint="eastAsia"/>
                    </w:rPr>
                    <w:t>/</w:t>
                  </w:r>
                </w:p>
              </w:tc>
              <w:tc>
                <w:tcPr>
                  <w:tcW w:w="830" w:type="dxa"/>
                  <w:tcBorders>
                    <w:top w:val="single" w:color="auto" w:sz="4" w:space="0"/>
                    <w:left w:val="nil"/>
                    <w:bottom w:val="single" w:color="auto" w:sz="4" w:space="0"/>
                    <w:right w:val="single" w:color="auto" w:sz="4" w:space="0"/>
                  </w:tcBorders>
                  <w:vAlign w:val="center"/>
                </w:tcPr>
                <w:p w14:paraId="3F6A853D">
                  <w:pPr>
                    <w:jc w:val="center"/>
                    <w:rPr>
                      <w:kern w:val="0"/>
                    </w:rPr>
                  </w:pPr>
                  <w:r>
                    <w:rPr>
                      <w:rFonts w:hint="eastAsia"/>
                    </w:rPr>
                    <w:t>3</w:t>
                  </w:r>
                  <w:r>
                    <w:t>0</w:t>
                  </w:r>
                </w:p>
              </w:tc>
              <w:tc>
                <w:tcPr>
                  <w:tcW w:w="830" w:type="dxa"/>
                  <w:tcBorders>
                    <w:top w:val="single" w:color="auto" w:sz="4" w:space="0"/>
                    <w:left w:val="nil"/>
                    <w:bottom w:val="single" w:color="auto" w:sz="4" w:space="0"/>
                    <w:right w:val="single" w:color="auto" w:sz="4" w:space="0"/>
                  </w:tcBorders>
                  <w:vAlign w:val="center"/>
                </w:tcPr>
                <w:p w14:paraId="74865AAF">
                  <w:pPr>
                    <w:jc w:val="center"/>
                    <w:rPr>
                      <w:kern w:val="0"/>
                    </w:rPr>
                  </w:pPr>
                  <w:r>
                    <w:rPr>
                      <w:rFonts w:hint="eastAsia"/>
                      <w:kern w:val="0"/>
                    </w:rPr>
                    <w:t>/</w:t>
                  </w:r>
                </w:p>
              </w:tc>
              <w:tc>
                <w:tcPr>
                  <w:tcW w:w="830" w:type="dxa"/>
                  <w:tcBorders>
                    <w:top w:val="single" w:color="auto" w:sz="4" w:space="0"/>
                    <w:left w:val="nil"/>
                    <w:bottom w:val="single" w:color="auto" w:sz="4" w:space="0"/>
                    <w:right w:val="single" w:color="auto" w:sz="4" w:space="0"/>
                  </w:tcBorders>
                  <w:vAlign w:val="center"/>
                </w:tcPr>
                <w:p w14:paraId="6151F07F">
                  <w:pPr>
                    <w:jc w:val="center"/>
                    <w:rPr>
                      <w:kern w:val="0"/>
                    </w:rPr>
                  </w:pPr>
                  <w:r>
                    <w:rPr>
                      <w:rFonts w:hint="eastAsia"/>
                      <w:kern w:val="0"/>
                    </w:rPr>
                    <w:t>/</w:t>
                  </w:r>
                </w:p>
              </w:tc>
              <w:tc>
                <w:tcPr>
                  <w:tcW w:w="832" w:type="dxa"/>
                  <w:tcBorders>
                    <w:top w:val="single" w:color="auto" w:sz="4" w:space="0"/>
                    <w:left w:val="nil"/>
                    <w:bottom w:val="single" w:color="auto" w:sz="4" w:space="0"/>
                    <w:right w:val="nil"/>
                  </w:tcBorders>
                  <w:vAlign w:val="center"/>
                </w:tcPr>
                <w:p w14:paraId="1F841AF8">
                  <w:pPr>
                    <w:jc w:val="center"/>
                    <w:rPr>
                      <w:kern w:val="0"/>
                    </w:rPr>
                  </w:pPr>
                  <w:r>
                    <w:rPr>
                      <w:rFonts w:hint="eastAsia"/>
                      <w:kern w:val="0"/>
                    </w:rPr>
                    <w:t>/</w:t>
                  </w:r>
                </w:p>
              </w:tc>
            </w:tr>
            <w:tr w14:paraId="6960B1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6" w:type="dxa"/>
                  <w:vMerge w:val="restart"/>
                  <w:tcBorders>
                    <w:top w:val="nil"/>
                    <w:left w:val="nil"/>
                    <w:bottom w:val="single" w:color="auto" w:sz="4" w:space="0"/>
                    <w:right w:val="single" w:color="auto" w:sz="4" w:space="0"/>
                  </w:tcBorders>
                  <w:vAlign w:val="center"/>
                </w:tcPr>
                <w:p w14:paraId="36A07DD1">
                  <w:pPr>
                    <w:jc w:val="center"/>
                    <w:rPr>
                      <w:kern w:val="0"/>
                    </w:rPr>
                  </w:pPr>
                  <w:r>
                    <w:rPr>
                      <w:rFonts w:hint="eastAsia" w:ascii="宋体" w:hAnsi="宋体"/>
                    </w:rPr>
                    <w:t>生活污水</w:t>
                  </w:r>
                </w:p>
              </w:tc>
              <w:tc>
                <w:tcPr>
                  <w:tcW w:w="2901" w:type="dxa"/>
                  <w:tcBorders>
                    <w:top w:val="single" w:color="auto" w:sz="4" w:space="0"/>
                    <w:left w:val="nil"/>
                    <w:bottom w:val="single" w:color="auto" w:sz="4" w:space="0"/>
                    <w:right w:val="single" w:color="auto" w:sz="4" w:space="0"/>
                  </w:tcBorders>
                  <w:vAlign w:val="center"/>
                </w:tcPr>
                <w:p w14:paraId="46078614">
                  <w:pPr>
                    <w:jc w:val="center"/>
                    <w:rPr>
                      <w:kern w:val="0"/>
                    </w:rPr>
                  </w:pPr>
                  <w:r>
                    <w:rPr>
                      <w:rFonts w:hint="eastAsia" w:ascii="宋体" w:hAnsi="宋体"/>
                    </w:rPr>
                    <w:t>化粪池处理前（</w:t>
                  </w:r>
                  <w:r>
                    <w:rPr>
                      <w:rFonts w:hint="eastAsia"/>
                    </w:rPr>
                    <w:t>0.48</w:t>
                  </w:r>
                  <w:r>
                    <w:t xml:space="preserve"> m</w:t>
                  </w:r>
                  <w:r>
                    <w:rPr>
                      <w:vertAlign w:val="superscript"/>
                    </w:rPr>
                    <w:t>3</w:t>
                  </w:r>
                  <w:r>
                    <w:rPr>
                      <w:rFonts w:hint="eastAsia"/>
                    </w:rPr>
                    <w:t>/d</w:t>
                  </w:r>
                  <w:r>
                    <w:rPr>
                      <w:rFonts w:hint="eastAsia" w:ascii="宋体" w:hAnsi="宋体"/>
                    </w:rPr>
                    <w:t>）</w:t>
                  </w:r>
                </w:p>
              </w:tc>
              <w:tc>
                <w:tcPr>
                  <w:tcW w:w="830" w:type="dxa"/>
                  <w:tcBorders>
                    <w:top w:val="single" w:color="auto" w:sz="4" w:space="0"/>
                    <w:left w:val="nil"/>
                    <w:bottom w:val="single" w:color="auto" w:sz="4" w:space="0"/>
                    <w:right w:val="single" w:color="auto" w:sz="4" w:space="0"/>
                  </w:tcBorders>
                  <w:vAlign w:val="center"/>
                </w:tcPr>
                <w:p w14:paraId="29AF8E39">
                  <w:pPr>
                    <w:jc w:val="center"/>
                    <w:rPr>
                      <w:kern w:val="0"/>
                    </w:rPr>
                  </w:pPr>
                  <w:r>
                    <w:rPr>
                      <w:kern w:val="0"/>
                    </w:rPr>
                    <w:t>350.00</w:t>
                  </w:r>
                </w:p>
              </w:tc>
              <w:tc>
                <w:tcPr>
                  <w:tcW w:w="830" w:type="dxa"/>
                  <w:tcBorders>
                    <w:top w:val="single" w:color="auto" w:sz="4" w:space="0"/>
                    <w:left w:val="nil"/>
                    <w:bottom w:val="single" w:color="auto" w:sz="4" w:space="0"/>
                    <w:right w:val="single" w:color="auto" w:sz="4" w:space="0"/>
                  </w:tcBorders>
                  <w:vAlign w:val="center"/>
                </w:tcPr>
                <w:p w14:paraId="4EEFFC32">
                  <w:pPr>
                    <w:jc w:val="center"/>
                    <w:rPr>
                      <w:kern w:val="0"/>
                    </w:rPr>
                  </w:pPr>
                  <w:r>
                    <w:rPr>
                      <w:kern w:val="0"/>
                    </w:rPr>
                    <w:t>200.00</w:t>
                  </w:r>
                </w:p>
              </w:tc>
              <w:tc>
                <w:tcPr>
                  <w:tcW w:w="830" w:type="dxa"/>
                  <w:tcBorders>
                    <w:top w:val="single" w:color="auto" w:sz="4" w:space="0"/>
                    <w:left w:val="nil"/>
                    <w:bottom w:val="single" w:color="auto" w:sz="4" w:space="0"/>
                    <w:right w:val="single" w:color="auto" w:sz="4" w:space="0"/>
                  </w:tcBorders>
                  <w:vAlign w:val="center"/>
                </w:tcPr>
                <w:p w14:paraId="67AADBAF">
                  <w:pPr>
                    <w:jc w:val="center"/>
                    <w:rPr>
                      <w:kern w:val="0"/>
                    </w:rPr>
                  </w:pPr>
                  <w:r>
                    <w:rPr>
                      <w:rFonts w:hint="eastAsia"/>
                      <w:kern w:val="0"/>
                    </w:rPr>
                    <w:t>2</w:t>
                  </w:r>
                  <w:r>
                    <w:rPr>
                      <w:kern w:val="0"/>
                    </w:rPr>
                    <w:t>5.00</w:t>
                  </w:r>
                </w:p>
              </w:tc>
              <w:tc>
                <w:tcPr>
                  <w:tcW w:w="830" w:type="dxa"/>
                  <w:tcBorders>
                    <w:top w:val="single" w:color="auto" w:sz="4" w:space="0"/>
                    <w:left w:val="nil"/>
                    <w:bottom w:val="single" w:color="auto" w:sz="4" w:space="0"/>
                    <w:right w:val="single" w:color="auto" w:sz="4" w:space="0"/>
                  </w:tcBorders>
                  <w:vAlign w:val="center"/>
                </w:tcPr>
                <w:p w14:paraId="20BABA64">
                  <w:pPr>
                    <w:jc w:val="center"/>
                    <w:rPr>
                      <w:kern w:val="0"/>
                    </w:rPr>
                  </w:pPr>
                  <w:r>
                    <w:rPr>
                      <w:rFonts w:hint="eastAsia"/>
                      <w:kern w:val="0"/>
                    </w:rPr>
                    <w:t>3</w:t>
                  </w:r>
                  <w:r>
                    <w:rPr>
                      <w:kern w:val="0"/>
                    </w:rPr>
                    <w:t>.00</w:t>
                  </w:r>
                </w:p>
              </w:tc>
              <w:tc>
                <w:tcPr>
                  <w:tcW w:w="832" w:type="dxa"/>
                  <w:tcBorders>
                    <w:top w:val="single" w:color="auto" w:sz="4" w:space="0"/>
                    <w:left w:val="nil"/>
                    <w:bottom w:val="single" w:color="auto" w:sz="4" w:space="0"/>
                    <w:right w:val="nil"/>
                  </w:tcBorders>
                  <w:vAlign w:val="center"/>
                </w:tcPr>
                <w:p w14:paraId="368D64CC">
                  <w:pPr>
                    <w:jc w:val="center"/>
                    <w:rPr>
                      <w:kern w:val="0"/>
                    </w:rPr>
                  </w:pPr>
                  <w:r>
                    <w:rPr>
                      <w:rFonts w:hint="eastAsia"/>
                      <w:kern w:val="0"/>
                    </w:rPr>
                    <w:t>3</w:t>
                  </w:r>
                  <w:r>
                    <w:rPr>
                      <w:kern w:val="0"/>
                    </w:rPr>
                    <w:t>0.00</w:t>
                  </w:r>
                </w:p>
              </w:tc>
            </w:tr>
            <w:tr w14:paraId="2679C8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6" w:type="dxa"/>
                  <w:vMerge w:val="continue"/>
                  <w:tcBorders>
                    <w:top w:val="nil"/>
                    <w:left w:val="nil"/>
                    <w:bottom w:val="single" w:color="auto" w:sz="4" w:space="0"/>
                    <w:right w:val="single" w:color="auto" w:sz="4" w:space="0"/>
                  </w:tcBorders>
                  <w:vAlign w:val="center"/>
                </w:tcPr>
                <w:p w14:paraId="3D77788E">
                  <w:pPr>
                    <w:widowControl/>
                    <w:jc w:val="left"/>
                    <w:rPr>
                      <w:kern w:val="0"/>
                      <w:szCs w:val="21"/>
                    </w:rPr>
                  </w:pPr>
                </w:p>
              </w:tc>
              <w:tc>
                <w:tcPr>
                  <w:tcW w:w="2901" w:type="dxa"/>
                  <w:tcBorders>
                    <w:top w:val="single" w:color="auto" w:sz="4" w:space="0"/>
                    <w:left w:val="nil"/>
                    <w:bottom w:val="single" w:color="auto" w:sz="4" w:space="0"/>
                    <w:right w:val="single" w:color="auto" w:sz="4" w:space="0"/>
                  </w:tcBorders>
                  <w:vAlign w:val="center"/>
                </w:tcPr>
                <w:p w14:paraId="2B58C351">
                  <w:pPr>
                    <w:jc w:val="center"/>
                    <w:rPr>
                      <w:kern w:val="0"/>
                    </w:rPr>
                  </w:pPr>
                  <w:r>
                    <w:rPr>
                      <w:rFonts w:hint="eastAsia" w:ascii="宋体" w:hAnsi="宋体"/>
                    </w:rPr>
                    <w:t>处理效率（</w:t>
                  </w:r>
                  <w:r>
                    <w:t>%</w:t>
                  </w:r>
                  <w:r>
                    <w:rPr>
                      <w:rFonts w:hint="eastAsia" w:ascii="宋体" w:hAnsi="宋体"/>
                    </w:rPr>
                    <w:t>）</w:t>
                  </w:r>
                </w:p>
              </w:tc>
              <w:tc>
                <w:tcPr>
                  <w:tcW w:w="830" w:type="dxa"/>
                  <w:tcBorders>
                    <w:top w:val="single" w:color="auto" w:sz="4" w:space="0"/>
                    <w:left w:val="nil"/>
                    <w:bottom w:val="single" w:color="auto" w:sz="4" w:space="0"/>
                    <w:right w:val="single" w:color="auto" w:sz="4" w:space="0"/>
                  </w:tcBorders>
                  <w:vAlign w:val="center"/>
                </w:tcPr>
                <w:p w14:paraId="0749CB34">
                  <w:pPr>
                    <w:jc w:val="center"/>
                    <w:rPr>
                      <w:kern w:val="0"/>
                    </w:rPr>
                  </w:pPr>
                  <w:r>
                    <w:t>28.</w:t>
                  </w:r>
                  <w:r>
                    <w:rPr>
                      <w:rFonts w:hint="eastAsia"/>
                    </w:rPr>
                    <w:t>6</w:t>
                  </w:r>
                </w:p>
              </w:tc>
              <w:tc>
                <w:tcPr>
                  <w:tcW w:w="830" w:type="dxa"/>
                  <w:tcBorders>
                    <w:top w:val="single" w:color="auto" w:sz="4" w:space="0"/>
                    <w:left w:val="nil"/>
                    <w:bottom w:val="single" w:color="auto" w:sz="4" w:space="0"/>
                    <w:right w:val="single" w:color="auto" w:sz="4" w:space="0"/>
                  </w:tcBorders>
                  <w:vAlign w:val="center"/>
                </w:tcPr>
                <w:p w14:paraId="35053606">
                  <w:pPr>
                    <w:jc w:val="center"/>
                    <w:rPr>
                      <w:kern w:val="0"/>
                    </w:rPr>
                  </w:pPr>
                  <w:r>
                    <w:t>7.5</w:t>
                  </w:r>
                </w:p>
              </w:tc>
              <w:tc>
                <w:tcPr>
                  <w:tcW w:w="830" w:type="dxa"/>
                  <w:tcBorders>
                    <w:top w:val="single" w:color="auto" w:sz="4" w:space="0"/>
                    <w:left w:val="nil"/>
                    <w:bottom w:val="single" w:color="auto" w:sz="4" w:space="0"/>
                    <w:right w:val="single" w:color="auto" w:sz="4" w:space="0"/>
                  </w:tcBorders>
                  <w:vAlign w:val="center"/>
                </w:tcPr>
                <w:p w14:paraId="23F65D7F">
                  <w:pPr>
                    <w:jc w:val="center"/>
                    <w:rPr>
                      <w:kern w:val="0"/>
                    </w:rPr>
                  </w:pPr>
                  <w:r>
                    <w:rPr>
                      <w:rFonts w:hint="eastAsia"/>
                      <w:kern w:val="0"/>
                    </w:rPr>
                    <w:t>/</w:t>
                  </w:r>
                </w:p>
              </w:tc>
              <w:tc>
                <w:tcPr>
                  <w:tcW w:w="830" w:type="dxa"/>
                  <w:tcBorders>
                    <w:top w:val="single" w:color="auto" w:sz="4" w:space="0"/>
                    <w:left w:val="nil"/>
                    <w:bottom w:val="single" w:color="auto" w:sz="4" w:space="0"/>
                    <w:right w:val="single" w:color="auto" w:sz="4" w:space="0"/>
                  </w:tcBorders>
                  <w:vAlign w:val="center"/>
                </w:tcPr>
                <w:p w14:paraId="3D6D9865">
                  <w:pPr>
                    <w:jc w:val="center"/>
                    <w:rPr>
                      <w:kern w:val="0"/>
                    </w:rPr>
                  </w:pPr>
                  <w:r>
                    <w:rPr>
                      <w:rFonts w:hint="eastAsia"/>
                      <w:kern w:val="0"/>
                    </w:rPr>
                    <w:t>/</w:t>
                  </w:r>
                </w:p>
              </w:tc>
              <w:tc>
                <w:tcPr>
                  <w:tcW w:w="832" w:type="dxa"/>
                  <w:tcBorders>
                    <w:top w:val="single" w:color="auto" w:sz="4" w:space="0"/>
                    <w:left w:val="nil"/>
                    <w:bottom w:val="single" w:color="auto" w:sz="4" w:space="0"/>
                    <w:right w:val="nil"/>
                  </w:tcBorders>
                  <w:vAlign w:val="center"/>
                </w:tcPr>
                <w:p w14:paraId="307C2A91">
                  <w:pPr>
                    <w:jc w:val="center"/>
                    <w:rPr>
                      <w:kern w:val="0"/>
                    </w:rPr>
                  </w:pPr>
                  <w:r>
                    <w:rPr>
                      <w:rFonts w:hint="eastAsia"/>
                      <w:kern w:val="0"/>
                    </w:rPr>
                    <w:t>/</w:t>
                  </w:r>
                </w:p>
              </w:tc>
            </w:tr>
            <w:tr w14:paraId="689B7F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06" w:type="dxa"/>
                  <w:vMerge w:val="continue"/>
                  <w:tcBorders>
                    <w:top w:val="nil"/>
                    <w:left w:val="nil"/>
                    <w:bottom w:val="single" w:color="auto" w:sz="4" w:space="0"/>
                    <w:right w:val="single" w:color="auto" w:sz="4" w:space="0"/>
                  </w:tcBorders>
                  <w:vAlign w:val="center"/>
                </w:tcPr>
                <w:p w14:paraId="29053033">
                  <w:pPr>
                    <w:widowControl/>
                    <w:jc w:val="left"/>
                    <w:rPr>
                      <w:kern w:val="0"/>
                      <w:szCs w:val="21"/>
                    </w:rPr>
                  </w:pPr>
                </w:p>
              </w:tc>
              <w:tc>
                <w:tcPr>
                  <w:tcW w:w="2901" w:type="dxa"/>
                  <w:tcBorders>
                    <w:top w:val="single" w:color="auto" w:sz="4" w:space="0"/>
                    <w:left w:val="nil"/>
                    <w:bottom w:val="single" w:color="auto" w:sz="4" w:space="0"/>
                    <w:right w:val="single" w:color="auto" w:sz="4" w:space="0"/>
                  </w:tcBorders>
                  <w:vAlign w:val="center"/>
                </w:tcPr>
                <w:p w14:paraId="4716D74A">
                  <w:pPr>
                    <w:jc w:val="center"/>
                    <w:rPr>
                      <w:kern w:val="0"/>
                    </w:rPr>
                  </w:pPr>
                  <w:r>
                    <w:rPr>
                      <w:rFonts w:hint="eastAsia" w:ascii="宋体" w:hAnsi="宋体"/>
                      <w:bCs/>
                    </w:rPr>
                    <w:t>化粪池处理后（</w:t>
                  </w:r>
                  <w:r>
                    <w:rPr>
                      <w:rFonts w:hint="eastAsia"/>
                      <w:bCs/>
                    </w:rPr>
                    <w:t>0.48</w:t>
                  </w:r>
                  <w:r>
                    <w:t xml:space="preserve"> m</w:t>
                  </w:r>
                  <w:r>
                    <w:rPr>
                      <w:vertAlign w:val="superscript"/>
                    </w:rPr>
                    <w:t>3</w:t>
                  </w:r>
                  <w:r>
                    <w:rPr>
                      <w:rFonts w:hint="eastAsia"/>
                    </w:rPr>
                    <w:t>/d</w:t>
                  </w:r>
                  <w:r>
                    <w:rPr>
                      <w:rFonts w:hint="eastAsia" w:ascii="宋体" w:hAnsi="宋体"/>
                      <w:bCs/>
                    </w:rPr>
                    <w:t>）</w:t>
                  </w:r>
                </w:p>
              </w:tc>
              <w:tc>
                <w:tcPr>
                  <w:tcW w:w="830" w:type="dxa"/>
                  <w:tcBorders>
                    <w:top w:val="single" w:color="auto" w:sz="4" w:space="0"/>
                    <w:left w:val="nil"/>
                    <w:bottom w:val="single" w:color="auto" w:sz="4" w:space="0"/>
                    <w:right w:val="single" w:color="auto" w:sz="4" w:space="0"/>
                  </w:tcBorders>
                  <w:vAlign w:val="center"/>
                </w:tcPr>
                <w:p w14:paraId="524E05A7">
                  <w:pPr>
                    <w:jc w:val="center"/>
                    <w:rPr>
                      <w:kern w:val="0"/>
                    </w:rPr>
                  </w:pPr>
                  <w:r>
                    <w:rPr>
                      <w:rFonts w:hint="eastAsia"/>
                      <w:bCs/>
                      <w:kern w:val="0"/>
                    </w:rPr>
                    <w:t>2</w:t>
                  </w:r>
                  <w:r>
                    <w:rPr>
                      <w:bCs/>
                      <w:kern w:val="0"/>
                    </w:rPr>
                    <w:t>50.00</w:t>
                  </w:r>
                </w:p>
              </w:tc>
              <w:tc>
                <w:tcPr>
                  <w:tcW w:w="830" w:type="dxa"/>
                  <w:tcBorders>
                    <w:top w:val="single" w:color="auto" w:sz="4" w:space="0"/>
                    <w:left w:val="nil"/>
                    <w:bottom w:val="single" w:color="auto" w:sz="4" w:space="0"/>
                    <w:right w:val="single" w:color="auto" w:sz="4" w:space="0"/>
                  </w:tcBorders>
                  <w:vAlign w:val="center"/>
                </w:tcPr>
                <w:p w14:paraId="163BB45B">
                  <w:pPr>
                    <w:jc w:val="center"/>
                    <w:rPr>
                      <w:kern w:val="0"/>
                    </w:rPr>
                  </w:pPr>
                  <w:r>
                    <w:rPr>
                      <w:bCs/>
                      <w:kern w:val="0"/>
                    </w:rPr>
                    <w:t>185.00</w:t>
                  </w:r>
                </w:p>
              </w:tc>
              <w:tc>
                <w:tcPr>
                  <w:tcW w:w="830" w:type="dxa"/>
                  <w:tcBorders>
                    <w:top w:val="single" w:color="auto" w:sz="4" w:space="0"/>
                    <w:left w:val="nil"/>
                    <w:bottom w:val="single" w:color="auto" w:sz="4" w:space="0"/>
                    <w:right w:val="single" w:color="auto" w:sz="4" w:space="0"/>
                  </w:tcBorders>
                  <w:vAlign w:val="center"/>
                </w:tcPr>
                <w:p w14:paraId="0B82D4FD">
                  <w:pPr>
                    <w:jc w:val="center"/>
                    <w:rPr>
                      <w:kern w:val="0"/>
                    </w:rPr>
                  </w:pPr>
                  <w:r>
                    <w:rPr>
                      <w:rFonts w:hint="eastAsia"/>
                      <w:kern w:val="0"/>
                    </w:rPr>
                    <w:t>2</w:t>
                  </w:r>
                  <w:r>
                    <w:rPr>
                      <w:kern w:val="0"/>
                    </w:rPr>
                    <w:t>5.00</w:t>
                  </w:r>
                </w:p>
              </w:tc>
              <w:tc>
                <w:tcPr>
                  <w:tcW w:w="830" w:type="dxa"/>
                  <w:tcBorders>
                    <w:top w:val="single" w:color="auto" w:sz="4" w:space="0"/>
                    <w:left w:val="nil"/>
                    <w:bottom w:val="single" w:color="auto" w:sz="4" w:space="0"/>
                    <w:right w:val="single" w:color="auto" w:sz="4" w:space="0"/>
                  </w:tcBorders>
                  <w:vAlign w:val="center"/>
                </w:tcPr>
                <w:p w14:paraId="35319DCA">
                  <w:pPr>
                    <w:jc w:val="center"/>
                    <w:rPr>
                      <w:kern w:val="0"/>
                    </w:rPr>
                  </w:pPr>
                  <w:r>
                    <w:rPr>
                      <w:rFonts w:hint="eastAsia"/>
                      <w:kern w:val="0"/>
                    </w:rPr>
                    <w:t>3</w:t>
                  </w:r>
                  <w:r>
                    <w:rPr>
                      <w:kern w:val="0"/>
                    </w:rPr>
                    <w:t>.00</w:t>
                  </w:r>
                </w:p>
              </w:tc>
              <w:tc>
                <w:tcPr>
                  <w:tcW w:w="832" w:type="dxa"/>
                  <w:tcBorders>
                    <w:top w:val="single" w:color="auto" w:sz="4" w:space="0"/>
                    <w:left w:val="nil"/>
                    <w:bottom w:val="single" w:color="auto" w:sz="4" w:space="0"/>
                    <w:right w:val="nil"/>
                  </w:tcBorders>
                  <w:vAlign w:val="center"/>
                </w:tcPr>
                <w:p w14:paraId="4B7F2AD8">
                  <w:pPr>
                    <w:jc w:val="center"/>
                    <w:rPr>
                      <w:kern w:val="0"/>
                    </w:rPr>
                  </w:pPr>
                  <w:r>
                    <w:rPr>
                      <w:rFonts w:hint="eastAsia"/>
                      <w:kern w:val="0"/>
                    </w:rPr>
                    <w:t>3</w:t>
                  </w:r>
                  <w:r>
                    <w:rPr>
                      <w:kern w:val="0"/>
                    </w:rPr>
                    <w:t>0.00</w:t>
                  </w:r>
                </w:p>
              </w:tc>
            </w:tr>
            <w:tr w14:paraId="711033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07" w:type="dxa"/>
                  <w:gridSpan w:val="2"/>
                  <w:tcBorders>
                    <w:top w:val="single" w:color="auto" w:sz="4" w:space="0"/>
                    <w:left w:val="nil"/>
                    <w:bottom w:val="single" w:color="auto" w:sz="4" w:space="0"/>
                    <w:right w:val="single" w:color="auto" w:sz="4" w:space="0"/>
                  </w:tcBorders>
                  <w:vAlign w:val="center"/>
                </w:tcPr>
                <w:p w14:paraId="3084B0CD">
                  <w:pPr>
                    <w:pStyle w:val="80"/>
                    <w:adjustRightInd w:val="0"/>
                    <w:snapToGrid w:val="0"/>
                    <w:jc w:val="center"/>
                  </w:pPr>
                  <w:r>
                    <w:rPr>
                      <w:rFonts w:hint="eastAsia" w:ascii="宋体" w:hAnsi="宋体"/>
                    </w:rPr>
                    <w:t>废水总排口（</w:t>
                  </w:r>
                  <w:r>
                    <w:rPr>
                      <w:rFonts w:hint="eastAsia"/>
                    </w:rPr>
                    <w:t>1.02</w:t>
                  </w:r>
                  <w:r>
                    <w:t>m</w:t>
                  </w:r>
                  <w:r>
                    <w:rPr>
                      <w:vertAlign w:val="superscript"/>
                    </w:rPr>
                    <w:t>3</w:t>
                  </w:r>
                  <w:r>
                    <w:rPr>
                      <w:rFonts w:hint="eastAsia"/>
                    </w:rPr>
                    <w:t>/d，306</w:t>
                  </w:r>
                  <w:r>
                    <w:t xml:space="preserve"> m</w:t>
                  </w:r>
                  <w:r>
                    <w:rPr>
                      <w:vertAlign w:val="superscript"/>
                    </w:rPr>
                    <w:t>3</w:t>
                  </w:r>
                  <w:r>
                    <w:rPr>
                      <w:rFonts w:hint="eastAsia"/>
                    </w:rPr>
                    <w:t>/a</w:t>
                  </w:r>
                  <w:r>
                    <w:rPr>
                      <w:rFonts w:hint="eastAsia" w:ascii="宋体" w:hAnsi="宋体"/>
                    </w:rPr>
                    <w:t>）</w:t>
                  </w:r>
                </w:p>
              </w:tc>
              <w:tc>
                <w:tcPr>
                  <w:tcW w:w="830" w:type="dxa"/>
                  <w:tcBorders>
                    <w:top w:val="single" w:color="auto" w:sz="4" w:space="0"/>
                    <w:left w:val="nil"/>
                    <w:bottom w:val="single" w:color="auto" w:sz="4" w:space="0"/>
                    <w:right w:val="single" w:color="auto" w:sz="4" w:space="0"/>
                  </w:tcBorders>
                  <w:vAlign w:val="center"/>
                </w:tcPr>
                <w:p w14:paraId="6D7F83CF">
                  <w:pPr>
                    <w:jc w:val="center"/>
                    <w:rPr>
                      <w:bCs/>
                      <w:kern w:val="0"/>
                    </w:rPr>
                  </w:pPr>
                  <w:r>
                    <w:rPr>
                      <w:rFonts w:hint="eastAsia"/>
                      <w:bCs/>
                      <w:kern w:val="0"/>
                    </w:rPr>
                    <w:t xml:space="preserve">276.47 </w:t>
                  </w:r>
                </w:p>
              </w:tc>
              <w:tc>
                <w:tcPr>
                  <w:tcW w:w="830" w:type="dxa"/>
                  <w:tcBorders>
                    <w:top w:val="single" w:color="auto" w:sz="4" w:space="0"/>
                    <w:left w:val="nil"/>
                    <w:bottom w:val="single" w:color="auto" w:sz="4" w:space="0"/>
                    <w:right w:val="single" w:color="auto" w:sz="4" w:space="0"/>
                  </w:tcBorders>
                  <w:vAlign w:val="center"/>
                </w:tcPr>
                <w:p w14:paraId="4FF08626">
                  <w:pPr>
                    <w:jc w:val="center"/>
                    <w:rPr>
                      <w:bCs/>
                      <w:kern w:val="0"/>
                    </w:rPr>
                  </w:pPr>
                  <w:r>
                    <w:rPr>
                      <w:rFonts w:hint="eastAsia"/>
                      <w:bCs/>
                      <w:kern w:val="0"/>
                    </w:rPr>
                    <w:t xml:space="preserve">101.88 </w:t>
                  </w:r>
                </w:p>
              </w:tc>
              <w:tc>
                <w:tcPr>
                  <w:tcW w:w="830" w:type="dxa"/>
                  <w:tcBorders>
                    <w:top w:val="single" w:color="auto" w:sz="4" w:space="0"/>
                    <w:left w:val="nil"/>
                    <w:bottom w:val="single" w:color="auto" w:sz="4" w:space="0"/>
                    <w:right w:val="single" w:color="auto" w:sz="4" w:space="0"/>
                  </w:tcBorders>
                  <w:vAlign w:val="center"/>
                </w:tcPr>
                <w:p w14:paraId="595733A6">
                  <w:pPr>
                    <w:jc w:val="center"/>
                    <w:rPr>
                      <w:bCs/>
                      <w:kern w:val="0"/>
                    </w:rPr>
                  </w:pPr>
                  <w:r>
                    <w:rPr>
                      <w:rFonts w:hint="eastAsia"/>
                      <w:bCs/>
                      <w:kern w:val="0"/>
                    </w:rPr>
                    <w:t xml:space="preserve">22.88 </w:t>
                  </w:r>
                </w:p>
              </w:tc>
              <w:tc>
                <w:tcPr>
                  <w:tcW w:w="830" w:type="dxa"/>
                  <w:tcBorders>
                    <w:top w:val="single" w:color="auto" w:sz="4" w:space="0"/>
                    <w:left w:val="nil"/>
                    <w:bottom w:val="single" w:color="auto" w:sz="4" w:space="0"/>
                    <w:right w:val="single" w:color="auto" w:sz="4" w:space="0"/>
                  </w:tcBorders>
                  <w:vAlign w:val="center"/>
                </w:tcPr>
                <w:p w14:paraId="01654AF7">
                  <w:pPr>
                    <w:jc w:val="center"/>
                    <w:rPr>
                      <w:bCs/>
                      <w:kern w:val="0"/>
                    </w:rPr>
                  </w:pPr>
                  <w:r>
                    <w:rPr>
                      <w:rFonts w:hint="eastAsia"/>
                      <w:bCs/>
                      <w:kern w:val="0"/>
                    </w:rPr>
                    <w:t xml:space="preserve">3.00 </w:t>
                  </w:r>
                </w:p>
              </w:tc>
              <w:tc>
                <w:tcPr>
                  <w:tcW w:w="832" w:type="dxa"/>
                  <w:tcBorders>
                    <w:top w:val="single" w:color="auto" w:sz="4" w:space="0"/>
                    <w:left w:val="nil"/>
                    <w:bottom w:val="single" w:color="auto" w:sz="4" w:space="0"/>
                    <w:right w:val="nil"/>
                  </w:tcBorders>
                  <w:vAlign w:val="center"/>
                </w:tcPr>
                <w:p w14:paraId="25F9892C">
                  <w:pPr>
                    <w:jc w:val="center"/>
                    <w:rPr>
                      <w:bCs/>
                      <w:kern w:val="0"/>
                    </w:rPr>
                  </w:pPr>
                  <w:r>
                    <w:rPr>
                      <w:rFonts w:hint="eastAsia"/>
                      <w:bCs/>
                      <w:kern w:val="0"/>
                    </w:rPr>
                    <w:t xml:space="preserve">37.94 </w:t>
                  </w:r>
                </w:p>
              </w:tc>
            </w:tr>
            <w:tr w14:paraId="73985A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07" w:type="dxa"/>
                  <w:gridSpan w:val="2"/>
                  <w:tcBorders>
                    <w:top w:val="single" w:color="auto" w:sz="4" w:space="0"/>
                    <w:left w:val="nil"/>
                    <w:bottom w:val="single" w:color="auto" w:sz="4" w:space="0"/>
                    <w:right w:val="single" w:color="auto" w:sz="4" w:space="0"/>
                  </w:tcBorders>
                  <w:vAlign w:val="center"/>
                </w:tcPr>
                <w:p w14:paraId="15987F64">
                  <w:pPr>
                    <w:pStyle w:val="86"/>
                  </w:pPr>
                  <w:r>
                    <w:rPr>
                      <w:rFonts w:hint="eastAsia"/>
                    </w:rPr>
                    <w:t>《合成树脂工业污染物排放标准》（GB31572-2015）</w:t>
                  </w:r>
                </w:p>
              </w:tc>
              <w:tc>
                <w:tcPr>
                  <w:tcW w:w="830" w:type="dxa"/>
                  <w:tcBorders>
                    <w:top w:val="single" w:color="auto" w:sz="4" w:space="0"/>
                    <w:left w:val="nil"/>
                    <w:bottom w:val="single" w:color="auto" w:sz="4" w:space="0"/>
                    <w:right w:val="single" w:color="auto" w:sz="4" w:space="0"/>
                  </w:tcBorders>
                  <w:vAlign w:val="center"/>
                </w:tcPr>
                <w:p w14:paraId="165BD282">
                  <w:pPr>
                    <w:pStyle w:val="80"/>
                    <w:jc w:val="center"/>
                    <w:rPr>
                      <w:kern w:val="0"/>
                    </w:rPr>
                  </w:pPr>
                  <w:r>
                    <w:rPr>
                      <w:rFonts w:hint="eastAsia"/>
                    </w:rPr>
                    <w:t>/</w:t>
                  </w:r>
                </w:p>
              </w:tc>
              <w:tc>
                <w:tcPr>
                  <w:tcW w:w="830" w:type="dxa"/>
                  <w:tcBorders>
                    <w:top w:val="single" w:color="auto" w:sz="4" w:space="0"/>
                    <w:left w:val="nil"/>
                    <w:bottom w:val="single" w:color="auto" w:sz="4" w:space="0"/>
                    <w:right w:val="single" w:color="auto" w:sz="4" w:space="0"/>
                  </w:tcBorders>
                  <w:vAlign w:val="center"/>
                </w:tcPr>
                <w:p w14:paraId="5BA77B06">
                  <w:pPr>
                    <w:pStyle w:val="80"/>
                    <w:jc w:val="center"/>
                    <w:rPr>
                      <w:kern w:val="0"/>
                    </w:rPr>
                  </w:pPr>
                  <w:r>
                    <w:rPr>
                      <w:rFonts w:hint="eastAsia"/>
                    </w:rPr>
                    <w:t>/</w:t>
                  </w:r>
                </w:p>
              </w:tc>
              <w:tc>
                <w:tcPr>
                  <w:tcW w:w="830" w:type="dxa"/>
                  <w:tcBorders>
                    <w:top w:val="single" w:color="auto" w:sz="4" w:space="0"/>
                    <w:left w:val="nil"/>
                    <w:bottom w:val="single" w:color="auto" w:sz="4" w:space="0"/>
                    <w:right w:val="single" w:color="auto" w:sz="4" w:space="0"/>
                  </w:tcBorders>
                  <w:vAlign w:val="center"/>
                </w:tcPr>
                <w:p w14:paraId="43277F0E">
                  <w:pPr>
                    <w:pStyle w:val="80"/>
                    <w:jc w:val="center"/>
                    <w:rPr>
                      <w:kern w:val="0"/>
                    </w:rPr>
                  </w:pPr>
                  <w:r>
                    <w:rPr>
                      <w:rFonts w:hint="eastAsia"/>
                    </w:rPr>
                    <w:t>/</w:t>
                  </w:r>
                </w:p>
              </w:tc>
              <w:tc>
                <w:tcPr>
                  <w:tcW w:w="830" w:type="dxa"/>
                  <w:tcBorders>
                    <w:top w:val="single" w:color="auto" w:sz="4" w:space="0"/>
                    <w:left w:val="nil"/>
                    <w:bottom w:val="single" w:color="auto" w:sz="4" w:space="0"/>
                    <w:right w:val="single" w:color="auto" w:sz="4" w:space="0"/>
                  </w:tcBorders>
                  <w:vAlign w:val="center"/>
                </w:tcPr>
                <w:p w14:paraId="5D4208D0">
                  <w:pPr>
                    <w:pStyle w:val="80"/>
                    <w:jc w:val="center"/>
                    <w:rPr>
                      <w:kern w:val="0"/>
                    </w:rPr>
                  </w:pPr>
                  <w:r>
                    <w:rPr>
                      <w:rFonts w:hint="eastAsia"/>
                    </w:rPr>
                    <w:t>/</w:t>
                  </w:r>
                </w:p>
              </w:tc>
              <w:tc>
                <w:tcPr>
                  <w:tcW w:w="832" w:type="dxa"/>
                  <w:tcBorders>
                    <w:top w:val="single" w:color="auto" w:sz="4" w:space="0"/>
                    <w:left w:val="nil"/>
                    <w:bottom w:val="single" w:color="auto" w:sz="4" w:space="0"/>
                    <w:right w:val="nil"/>
                  </w:tcBorders>
                  <w:vAlign w:val="center"/>
                </w:tcPr>
                <w:p w14:paraId="4958ED67">
                  <w:pPr>
                    <w:pStyle w:val="80"/>
                    <w:jc w:val="center"/>
                    <w:rPr>
                      <w:kern w:val="0"/>
                    </w:rPr>
                  </w:pPr>
                  <w:r>
                    <w:rPr>
                      <w:rFonts w:hint="eastAsia"/>
                    </w:rPr>
                    <w:t>/</w:t>
                  </w:r>
                </w:p>
              </w:tc>
            </w:tr>
            <w:tr w14:paraId="617C3D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07" w:type="dxa"/>
                  <w:gridSpan w:val="2"/>
                  <w:tcBorders>
                    <w:top w:val="single" w:color="auto" w:sz="4" w:space="0"/>
                    <w:left w:val="nil"/>
                    <w:bottom w:val="single" w:color="auto" w:sz="4" w:space="0"/>
                    <w:right w:val="single" w:color="auto" w:sz="4" w:space="0"/>
                  </w:tcBorders>
                  <w:vAlign w:val="center"/>
                </w:tcPr>
                <w:p w14:paraId="36C4FDBF">
                  <w:pPr>
                    <w:pStyle w:val="80"/>
                    <w:adjustRightInd w:val="0"/>
                    <w:snapToGrid w:val="0"/>
                    <w:jc w:val="center"/>
                    <w:rPr>
                      <w:kern w:val="0"/>
                    </w:rPr>
                  </w:pPr>
                  <w:r>
                    <w:rPr>
                      <w:rFonts w:hint="eastAsia" w:ascii="宋体" w:hAnsi="宋体"/>
                    </w:rPr>
                    <w:t>获嘉县香山家园污水处理厂收水标准</w:t>
                  </w:r>
                </w:p>
              </w:tc>
              <w:tc>
                <w:tcPr>
                  <w:tcW w:w="830" w:type="dxa"/>
                  <w:tcBorders>
                    <w:top w:val="single" w:color="auto" w:sz="4" w:space="0"/>
                    <w:left w:val="nil"/>
                    <w:bottom w:val="single" w:color="auto" w:sz="4" w:space="0"/>
                    <w:right w:val="single" w:color="auto" w:sz="4" w:space="0"/>
                  </w:tcBorders>
                  <w:vAlign w:val="center"/>
                </w:tcPr>
                <w:p w14:paraId="3E4756B0">
                  <w:pPr>
                    <w:jc w:val="center"/>
                    <w:rPr>
                      <w:kern w:val="0"/>
                    </w:rPr>
                  </w:pPr>
                  <w:r>
                    <w:rPr>
                      <w:kern w:val="0"/>
                    </w:rPr>
                    <w:t>420</w:t>
                  </w:r>
                </w:p>
              </w:tc>
              <w:tc>
                <w:tcPr>
                  <w:tcW w:w="830" w:type="dxa"/>
                  <w:tcBorders>
                    <w:top w:val="single" w:color="auto" w:sz="4" w:space="0"/>
                    <w:left w:val="nil"/>
                    <w:bottom w:val="single" w:color="auto" w:sz="4" w:space="0"/>
                    <w:right w:val="single" w:color="auto" w:sz="4" w:space="0"/>
                  </w:tcBorders>
                  <w:vAlign w:val="center"/>
                </w:tcPr>
                <w:p w14:paraId="51D570A8">
                  <w:pPr>
                    <w:jc w:val="center"/>
                    <w:rPr>
                      <w:kern w:val="0"/>
                    </w:rPr>
                  </w:pPr>
                  <w:r>
                    <w:rPr>
                      <w:kern w:val="0"/>
                    </w:rPr>
                    <w:t>200</w:t>
                  </w:r>
                </w:p>
              </w:tc>
              <w:tc>
                <w:tcPr>
                  <w:tcW w:w="830" w:type="dxa"/>
                  <w:tcBorders>
                    <w:top w:val="single" w:color="auto" w:sz="4" w:space="0"/>
                    <w:left w:val="nil"/>
                    <w:bottom w:val="single" w:color="auto" w:sz="4" w:space="0"/>
                    <w:right w:val="single" w:color="auto" w:sz="4" w:space="0"/>
                  </w:tcBorders>
                  <w:vAlign w:val="center"/>
                </w:tcPr>
                <w:p w14:paraId="044FCB41">
                  <w:pPr>
                    <w:jc w:val="center"/>
                    <w:rPr>
                      <w:kern w:val="0"/>
                    </w:rPr>
                  </w:pPr>
                  <w:r>
                    <w:rPr>
                      <w:rFonts w:hint="eastAsia"/>
                      <w:kern w:val="0"/>
                    </w:rPr>
                    <w:t>4</w:t>
                  </w:r>
                  <w:r>
                    <w:rPr>
                      <w:kern w:val="0"/>
                    </w:rPr>
                    <w:t>0</w:t>
                  </w:r>
                </w:p>
              </w:tc>
              <w:tc>
                <w:tcPr>
                  <w:tcW w:w="830" w:type="dxa"/>
                  <w:tcBorders>
                    <w:top w:val="single" w:color="auto" w:sz="4" w:space="0"/>
                    <w:left w:val="nil"/>
                    <w:bottom w:val="single" w:color="auto" w:sz="4" w:space="0"/>
                    <w:right w:val="single" w:color="auto" w:sz="4" w:space="0"/>
                  </w:tcBorders>
                  <w:vAlign w:val="center"/>
                </w:tcPr>
                <w:p w14:paraId="04353783">
                  <w:pPr>
                    <w:jc w:val="center"/>
                    <w:rPr>
                      <w:kern w:val="0"/>
                    </w:rPr>
                  </w:pPr>
                  <w:r>
                    <w:rPr>
                      <w:kern w:val="0"/>
                    </w:rPr>
                    <w:t>4</w:t>
                  </w:r>
                </w:p>
              </w:tc>
              <w:tc>
                <w:tcPr>
                  <w:tcW w:w="832" w:type="dxa"/>
                  <w:tcBorders>
                    <w:top w:val="single" w:color="auto" w:sz="4" w:space="0"/>
                    <w:left w:val="nil"/>
                    <w:bottom w:val="single" w:color="auto" w:sz="4" w:space="0"/>
                    <w:right w:val="nil"/>
                  </w:tcBorders>
                  <w:vAlign w:val="center"/>
                </w:tcPr>
                <w:p w14:paraId="089F473A">
                  <w:pPr>
                    <w:jc w:val="center"/>
                    <w:rPr>
                      <w:kern w:val="0"/>
                    </w:rPr>
                  </w:pPr>
                  <w:r>
                    <w:rPr>
                      <w:rFonts w:hint="eastAsia"/>
                      <w:kern w:val="0"/>
                    </w:rPr>
                    <w:t>5</w:t>
                  </w:r>
                  <w:r>
                    <w:rPr>
                      <w:kern w:val="0"/>
                    </w:rPr>
                    <w:t>0</w:t>
                  </w:r>
                </w:p>
              </w:tc>
            </w:tr>
            <w:tr w14:paraId="7D2339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07" w:type="dxa"/>
                  <w:gridSpan w:val="2"/>
                  <w:tcBorders>
                    <w:top w:val="single" w:color="auto" w:sz="4" w:space="0"/>
                    <w:left w:val="nil"/>
                    <w:bottom w:val="single" w:color="auto" w:sz="4" w:space="0"/>
                    <w:right w:val="single" w:color="auto" w:sz="4" w:space="0"/>
                  </w:tcBorders>
                  <w:vAlign w:val="center"/>
                </w:tcPr>
                <w:p w14:paraId="7641281F">
                  <w:pPr>
                    <w:pStyle w:val="80"/>
                    <w:adjustRightInd w:val="0"/>
                    <w:snapToGrid w:val="0"/>
                    <w:jc w:val="center"/>
                  </w:pPr>
                  <w:r>
                    <w:rPr>
                      <w:rFonts w:hint="eastAsia" w:ascii="宋体" w:hAnsi="宋体"/>
                    </w:rPr>
                    <w:t>本项目执行标准</w:t>
                  </w:r>
                </w:p>
              </w:tc>
              <w:tc>
                <w:tcPr>
                  <w:tcW w:w="830" w:type="dxa"/>
                  <w:tcBorders>
                    <w:top w:val="single" w:color="auto" w:sz="4" w:space="0"/>
                    <w:left w:val="nil"/>
                    <w:bottom w:val="single" w:color="auto" w:sz="4" w:space="0"/>
                    <w:right w:val="single" w:color="auto" w:sz="4" w:space="0"/>
                  </w:tcBorders>
                  <w:vAlign w:val="center"/>
                </w:tcPr>
                <w:p w14:paraId="3CAD1C02">
                  <w:pPr>
                    <w:jc w:val="center"/>
                    <w:rPr>
                      <w:kern w:val="0"/>
                    </w:rPr>
                  </w:pPr>
                  <w:r>
                    <w:rPr>
                      <w:kern w:val="0"/>
                    </w:rPr>
                    <w:t>420</w:t>
                  </w:r>
                </w:p>
              </w:tc>
              <w:tc>
                <w:tcPr>
                  <w:tcW w:w="830" w:type="dxa"/>
                  <w:tcBorders>
                    <w:top w:val="single" w:color="auto" w:sz="4" w:space="0"/>
                    <w:left w:val="nil"/>
                    <w:bottom w:val="single" w:color="auto" w:sz="4" w:space="0"/>
                    <w:right w:val="single" w:color="auto" w:sz="4" w:space="0"/>
                  </w:tcBorders>
                  <w:vAlign w:val="center"/>
                </w:tcPr>
                <w:p w14:paraId="58183E2F">
                  <w:pPr>
                    <w:jc w:val="center"/>
                    <w:rPr>
                      <w:kern w:val="0"/>
                    </w:rPr>
                  </w:pPr>
                  <w:r>
                    <w:rPr>
                      <w:kern w:val="0"/>
                    </w:rPr>
                    <w:t>200</w:t>
                  </w:r>
                </w:p>
              </w:tc>
              <w:tc>
                <w:tcPr>
                  <w:tcW w:w="830" w:type="dxa"/>
                  <w:tcBorders>
                    <w:top w:val="single" w:color="auto" w:sz="4" w:space="0"/>
                    <w:left w:val="nil"/>
                    <w:bottom w:val="single" w:color="auto" w:sz="4" w:space="0"/>
                    <w:right w:val="single" w:color="auto" w:sz="4" w:space="0"/>
                  </w:tcBorders>
                  <w:vAlign w:val="center"/>
                </w:tcPr>
                <w:p w14:paraId="35167986">
                  <w:pPr>
                    <w:jc w:val="center"/>
                    <w:rPr>
                      <w:kern w:val="0"/>
                    </w:rPr>
                  </w:pPr>
                  <w:r>
                    <w:t>40</w:t>
                  </w:r>
                </w:p>
              </w:tc>
              <w:tc>
                <w:tcPr>
                  <w:tcW w:w="830" w:type="dxa"/>
                  <w:tcBorders>
                    <w:top w:val="single" w:color="auto" w:sz="4" w:space="0"/>
                    <w:left w:val="nil"/>
                    <w:bottom w:val="single" w:color="auto" w:sz="4" w:space="0"/>
                    <w:right w:val="single" w:color="auto" w:sz="4" w:space="0"/>
                  </w:tcBorders>
                  <w:vAlign w:val="center"/>
                </w:tcPr>
                <w:p w14:paraId="3A40EB76">
                  <w:pPr>
                    <w:jc w:val="center"/>
                    <w:rPr>
                      <w:kern w:val="0"/>
                    </w:rPr>
                  </w:pPr>
                  <w:r>
                    <w:rPr>
                      <w:kern w:val="0"/>
                    </w:rPr>
                    <w:t>4</w:t>
                  </w:r>
                </w:p>
              </w:tc>
              <w:tc>
                <w:tcPr>
                  <w:tcW w:w="832" w:type="dxa"/>
                  <w:tcBorders>
                    <w:top w:val="single" w:color="auto" w:sz="4" w:space="0"/>
                    <w:left w:val="nil"/>
                    <w:bottom w:val="single" w:color="auto" w:sz="4" w:space="0"/>
                    <w:right w:val="nil"/>
                  </w:tcBorders>
                  <w:vAlign w:val="center"/>
                </w:tcPr>
                <w:p w14:paraId="6795E947">
                  <w:pPr>
                    <w:jc w:val="center"/>
                    <w:rPr>
                      <w:kern w:val="0"/>
                    </w:rPr>
                  </w:pPr>
                  <w:r>
                    <w:rPr>
                      <w:rFonts w:hint="eastAsia"/>
                      <w:kern w:val="0"/>
                    </w:rPr>
                    <w:t>5</w:t>
                  </w:r>
                  <w:r>
                    <w:rPr>
                      <w:kern w:val="0"/>
                    </w:rPr>
                    <w:t>0</w:t>
                  </w:r>
                </w:p>
              </w:tc>
            </w:tr>
            <w:tr w14:paraId="182A94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07" w:type="dxa"/>
                  <w:gridSpan w:val="2"/>
                  <w:tcBorders>
                    <w:top w:val="single" w:color="auto" w:sz="4" w:space="0"/>
                    <w:left w:val="nil"/>
                    <w:bottom w:val="single" w:color="auto" w:sz="8" w:space="0"/>
                    <w:right w:val="single" w:color="auto" w:sz="4" w:space="0"/>
                  </w:tcBorders>
                  <w:vAlign w:val="center"/>
                </w:tcPr>
                <w:p w14:paraId="4B69CAB1">
                  <w:pPr>
                    <w:pStyle w:val="80"/>
                    <w:adjustRightInd w:val="0"/>
                    <w:snapToGrid w:val="0"/>
                    <w:jc w:val="center"/>
                  </w:pPr>
                  <w:r>
                    <w:rPr>
                      <w:rFonts w:hint="eastAsia" w:ascii="宋体" w:hAnsi="宋体"/>
                    </w:rPr>
                    <w:t>达标情况</w:t>
                  </w:r>
                </w:p>
              </w:tc>
              <w:tc>
                <w:tcPr>
                  <w:tcW w:w="830" w:type="dxa"/>
                  <w:tcBorders>
                    <w:top w:val="single" w:color="auto" w:sz="4" w:space="0"/>
                    <w:left w:val="nil"/>
                    <w:bottom w:val="single" w:color="auto" w:sz="8" w:space="0"/>
                    <w:right w:val="single" w:color="auto" w:sz="4" w:space="0"/>
                  </w:tcBorders>
                  <w:vAlign w:val="center"/>
                </w:tcPr>
                <w:p w14:paraId="3491BE8B">
                  <w:pPr>
                    <w:pStyle w:val="80"/>
                    <w:jc w:val="center"/>
                    <w:rPr>
                      <w:kern w:val="0"/>
                    </w:rPr>
                  </w:pPr>
                  <w:r>
                    <w:rPr>
                      <w:rFonts w:hint="eastAsia" w:ascii="宋体" w:hAnsi="宋体"/>
                    </w:rPr>
                    <w:t>达标</w:t>
                  </w:r>
                </w:p>
              </w:tc>
              <w:tc>
                <w:tcPr>
                  <w:tcW w:w="830" w:type="dxa"/>
                  <w:tcBorders>
                    <w:top w:val="single" w:color="auto" w:sz="4" w:space="0"/>
                    <w:left w:val="nil"/>
                    <w:bottom w:val="single" w:color="auto" w:sz="8" w:space="0"/>
                    <w:right w:val="single" w:color="auto" w:sz="4" w:space="0"/>
                  </w:tcBorders>
                  <w:vAlign w:val="center"/>
                </w:tcPr>
                <w:p w14:paraId="5647B6F5">
                  <w:pPr>
                    <w:pStyle w:val="80"/>
                    <w:jc w:val="center"/>
                    <w:rPr>
                      <w:kern w:val="0"/>
                    </w:rPr>
                  </w:pPr>
                  <w:r>
                    <w:rPr>
                      <w:rFonts w:hint="eastAsia" w:ascii="宋体" w:hAnsi="宋体"/>
                    </w:rPr>
                    <w:t>达标</w:t>
                  </w:r>
                </w:p>
              </w:tc>
              <w:tc>
                <w:tcPr>
                  <w:tcW w:w="830" w:type="dxa"/>
                  <w:tcBorders>
                    <w:top w:val="single" w:color="auto" w:sz="4" w:space="0"/>
                    <w:left w:val="nil"/>
                    <w:bottom w:val="single" w:color="auto" w:sz="8" w:space="0"/>
                    <w:right w:val="single" w:color="auto" w:sz="4" w:space="0"/>
                  </w:tcBorders>
                  <w:vAlign w:val="center"/>
                </w:tcPr>
                <w:p w14:paraId="1842B464">
                  <w:pPr>
                    <w:pStyle w:val="80"/>
                    <w:jc w:val="center"/>
                    <w:rPr>
                      <w:kern w:val="0"/>
                    </w:rPr>
                  </w:pPr>
                  <w:r>
                    <w:rPr>
                      <w:rFonts w:hint="eastAsia" w:ascii="宋体" w:hAnsi="宋体"/>
                    </w:rPr>
                    <w:t>达标</w:t>
                  </w:r>
                </w:p>
              </w:tc>
              <w:tc>
                <w:tcPr>
                  <w:tcW w:w="830" w:type="dxa"/>
                  <w:tcBorders>
                    <w:top w:val="single" w:color="auto" w:sz="4" w:space="0"/>
                    <w:left w:val="nil"/>
                    <w:bottom w:val="single" w:color="auto" w:sz="8" w:space="0"/>
                    <w:right w:val="single" w:color="auto" w:sz="4" w:space="0"/>
                  </w:tcBorders>
                  <w:vAlign w:val="center"/>
                </w:tcPr>
                <w:p w14:paraId="520F1C92">
                  <w:pPr>
                    <w:pStyle w:val="80"/>
                    <w:jc w:val="center"/>
                    <w:rPr>
                      <w:kern w:val="0"/>
                    </w:rPr>
                  </w:pPr>
                  <w:r>
                    <w:rPr>
                      <w:rFonts w:hint="eastAsia" w:ascii="宋体" w:hAnsi="宋体"/>
                    </w:rPr>
                    <w:t>达标</w:t>
                  </w:r>
                </w:p>
              </w:tc>
              <w:tc>
                <w:tcPr>
                  <w:tcW w:w="832" w:type="dxa"/>
                  <w:tcBorders>
                    <w:top w:val="single" w:color="auto" w:sz="4" w:space="0"/>
                    <w:left w:val="nil"/>
                    <w:bottom w:val="single" w:color="auto" w:sz="8" w:space="0"/>
                    <w:right w:val="nil"/>
                  </w:tcBorders>
                  <w:vAlign w:val="center"/>
                </w:tcPr>
                <w:p w14:paraId="28C7E861">
                  <w:pPr>
                    <w:pStyle w:val="80"/>
                    <w:jc w:val="center"/>
                    <w:rPr>
                      <w:kern w:val="0"/>
                    </w:rPr>
                  </w:pPr>
                  <w:r>
                    <w:rPr>
                      <w:rFonts w:hint="eastAsia" w:ascii="宋体" w:hAnsi="宋体"/>
                    </w:rPr>
                    <w:t>达标</w:t>
                  </w:r>
                </w:p>
              </w:tc>
            </w:tr>
          </w:tbl>
          <w:p w14:paraId="4FF5E182">
            <w:pPr>
              <w:pStyle w:val="28"/>
              <w:ind w:firstLine="480"/>
            </w:pPr>
            <w:r>
              <w:rPr>
                <w:rFonts w:hint="eastAsia"/>
              </w:rPr>
              <w:t>由上表可知，厂区废水总排口废水各项水质均能满足达标排放的要求。清洗废水经污水处理站处理，生活污水经化粪池处理，最后一起经厂区废水总排口进入污水管网，排入获嘉县香山家园污水处理厂进一步处理，处理后出水共产主义渠，属于间接排放。</w:t>
            </w:r>
          </w:p>
          <w:p w14:paraId="0941D084">
            <w:pPr>
              <w:pStyle w:val="28"/>
              <w:ind w:firstLine="482"/>
              <w:rPr>
                <w:b/>
                <w:bCs/>
              </w:rPr>
            </w:pPr>
            <w:r>
              <w:rPr>
                <w:rFonts w:hint="eastAsia"/>
                <w:b/>
                <w:bCs/>
              </w:rPr>
              <w:t>3、污水处理厂依托可行性分析</w:t>
            </w:r>
          </w:p>
          <w:p w14:paraId="3E508B2C">
            <w:pPr>
              <w:pStyle w:val="28"/>
              <w:ind w:firstLine="480"/>
            </w:pPr>
            <w:r>
              <w:rPr>
                <w:rFonts w:hint="eastAsia"/>
              </w:rPr>
              <w:t>获嘉县产业聚集区香山家园污水处理厂位于凤凰大道以南，南环路以北，获武路以西，一期日处理规模达到1.0万m</w:t>
            </w:r>
            <w:r>
              <w:rPr>
                <w:rFonts w:hint="eastAsia"/>
                <w:vertAlign w:val="superscript"/>
              </w:rPr>
              <w:t>3</w:t>
            </w:r>
            <w:r>
              <w:rPr>
                <w:rFonts w:hint="eastAsia"/>
              </w:rPr>
              <w:t>/d，采用“旋流沉砂池+水解酸化+UCT+BAF+紫外线消毒”处理工艺，设计收水水质COD420mg/L、SS</w:t>
            </w:r>
            <w:r>
              <w:t xml:space="preserve"> </w:t>
            </w:r>
            <w:r>
              <w:rPr>
                <w:rFonts w:hint="eastAsia"/>
              </w:rPr>
              <w:t>200mg/L、氨氮40mg/L、TP4mg/L，出水水质执行《地表水环境质量标准》(GB3838-2002)</w:t>
            </w:r>
            <w:r>
              <w:t>Ⅴ</w:t>
            </w:r>
            <w:r>
              <w:rPr>
                <w:rFonts w:hint="eastAsia"/>
              </w:rPr>
              <w:t>类标准：即COD</w:t>
            </w:r>
            <w:r>
              <w:t xml:space="preserve"> </w:t>
            </w:r>
            <w:r>
              <w:rPr>
                <w:rFonts w:hint="eastAsia"/>
              </w:rPr>
              <w:t>40mg/L、SS10mg/L、NH</w:t>
            </w:r>
            <w:r>
              <w:rPr>
                <w:rFonts w:hint="eastAsia"/>
                <w:vertAlign w:val="subscript"/>
              </w:rPr>
              <w:t>3</w:t>
            </w:r>
            <w:r>
              <w:rPr>
                <w:rFonts w:hint="eastAsia"/>
              </w:rPr>
              <w:t>-N</w:t>
            </w:r>
            <w:r>
              <w:t xml:space="preserve"> </w:t>
            </w:r>
            <w:r>
              <w:rPr>
                <w:rFonts w:hint="eastAsia"/>
              </w:rPr>
              <w:t>2mg/L、TP</w:t>
            </w:r>
            <w:r>
              <w:t xml:space="preserve"> </w:t>
            </w:r>
            <w:r>
              <w:rPr>
                <w:rFonts w:hint="eastAsia"/>
              </w:rPr>
              <w:t>0.4mg/L；TN执行《城镇污水处理厂污染物排放标准》(GB18918-2002)一级A标准15mg/L。香山家园污水处理厂出水排入共产主义渠，目前该污水处理厂正常运行。</w:t>
            </w:r>
          </w:p>
          <w:p w14:paraId="32F7F3D2">
            <w:pPr>
              <w:pStyle w:val="28"/>
              <w:ind w:firstLine="480"/>
            </w:pPr>
            <w:r>
              <w:rPr>
                <w:rFonts w:hint="eastAsia"/>
              </w:rPr>
              <w:t>该污水处理厂收水范围为获嘉县产业集聚区所在片区，包括煤化工产业园、电力电气产业园和生活区的生产、生活污水，目前污水管网已覆盖项目所在厂址区域。</w:t>
            </w:r>
          </w:p>
          <w:p w14:paraId="6D519B26">
            <w:pPr>
              <w:pStyle w:val="28"/>
              <w:ind w:firstLine="480"/>
            </w:pPr>
            <w:r>
              <w:rPr>
                <w:rFonts w:hint="eastAsia"/>
              </w:rPr>
              <w:t>获嘉县产业集聚区香山家园污水处理厂已于2016年1月1日正式投入运行，目前污水处理厂实际收水量约为0.8万m</w:t>
            </w:r>
            <w:r>
              <w:rPr>
                <w:rFonts w:hint="eastAsia"/>
                <w:vertAlign w:val="superscript"/>
              </w:rPr>
              <w:t>3</w:t>
            </w:r>
            <w:r>
              <w:rPr>
                <w:rFonts w:hint="eastAsia"/>
              </w:rPr>
              <w:t>/d左右，目前剩余收水量为0.2万m</w:t>
            </w:r>
            <w:r>
              <w:rPr>
                <w:rFonts w:hint="eastAsia"/>
                <w:vertAlign w:val="superscript"/>
              </w:rPr>
              <w:t>3</w:t>
            </w:r>
            <w:r>
              <w:rPr>
                <w:rFonts w:hint="eastAsia"/>
              </w:rPr>
              <w:t>/d，本项目废水排放量为1.02m</w:t>
            </w:r>
            <w:r>
              <w:rPr>
                <w:rFonts w:hint="eastAsia"/>
                <w:vertAlign w:val="superscript"/>
              </w:rPr>
              <w:t>3</w:t>
            </w:r>
            <w:r>
              <w:rPr>
                <w:rFonts w:hint="eastAsia"/>
              </w:rPr>
              <w:t>/d，占剩余处理能力的0.</w:t>
            </w:r>
            <w:r>
              <w:t>0</w:t>
            </w:r>
            <w:r>
              <w:rPr>
                <w:rFonts w:hint="eastAsia"/>
              </w:rPr>
              <w:t>51%，所占比例比较小，不会对集聚区污水处理厂的负荷造成冲击。因此，从时间衔接和收水量来看，本项目废水可以进入获嘉县产业集聚区香山家园污水处理厂处理。</w:t>
            </w:r>
          </w:p>
          <w:p w14:paraId="0522601B">
            <w:pPr>
              <w:pStyle w:val="28"/>
              <w:ind w:firstLine="480"/>
            </w:pPr>
            <w:r>
              <w:rPr>
                <w:rFonts w:hint="eastAsia"/>
              </w:rPr>
              <w:t>综上所述，本项目位于污水处理厂收水范围且从处理能力、收水水质等角度分析项目废水不会对污水处理厂正常运行造成大的冲击影响，因此本项目依托获嘉县产业集聚区香山家园污水处理厂处理的方案可行，对地表水体环境影响可以接受。</w:t>
            </w:r>
          </w:p>
          <w:p w14:paraId="0B95F4B3">
            <w:pPr>
              <w:spacing w:line="460" w:lineRule="exact"/>
              <w:ind w:firstLine="482" w:firstLineChars="200"/>
              <w:rPr>
                <w:b/>
                <w:bCs/>
                <w:color w:val="000000"/>
                <w:sz w:val="24"/>
              </w:rPr>
            </w:pPr>
            <w:r>
              <w:rPr>
                <w:b/>
                <w:bCs/>
                <w:color w:val="000000"/>
                <w:sz w:val="24"/>
              </w:rPr>
              <w:t>4</w:t>
            </w:r>
            <w:r>
              <w:rPr>
                <w:rFonts w:ascii="宋体" w:hAnsi="宋体"/>
                <w:b/>
                <w:bCs/>
                <w:color w:val="000000"/>
                <w:sz w:val="24"/>
              </w:rPr>
              <w:t>、污染物排放信息</w:t>
            </w:r>
          </w:p>
          <w:p w14:paraId="12D92928">
            <w:pPr>
              <w:pStyle w:val="28"/>
              <w:ind w:firstLine="480"/>
            </w:pPr>
            <w:r>
              <w:rPr>
                <w:rFonts w:hint="eastAsia"/>
              </w:rPr>
              <w:t>①</w:t>
            </w:r>
            <w:r>
              <w:t>废水类别、污染物及污染治理设施信息表</w:t>
            </w:r>
          </w:p>
          <w:p w14:paraId="300CAADD">
            <w:pPr>
              <w:pStyle w:val="67"/>
              <w:ind w:firstLine="480"/>
            </w:pPr>
            <w:r>
              <w:t xml:space="preserve">       废水类别、污染物及污染治理设施信息表</w:t>
            </w:r>
          </w:p>
          <w:tbl>
            <w:tblPr>
              <w:tblStyle w:val="20"/>
              <w:tblW w:w="863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
              <w:gridCol w:w="427"/>
              <w:gridCol w:w="1060"/>
              <w:gridCol w:w="690"/>
              <w:gridCol w:w="836"/>
              <w:gridCol w:w="858"/>
              <w:gridCol w:w="821"/>
              <w:gridCol w:w="690"/>
              <w:gridCol w:w="881"/>
              <w:gridCol w:w="821"/>
              <w:gridCol w:w="1311"/>
            </w:tblGrid>
            <w:tr w14:paraId="469A9D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dxa"/>
                  <w:vMerge w:val="restart"/>
                  <w:tcBorders>
                    <w:top w:val="single" w:color="auto" w:sz="8" w:space="0"/>
                    <w:left w:val="nil"/>
                    <w:bottom w:val="single" w:color="auto" w:sz="4" w:space="0"/>
                    <w:right w:val="single" w:color="auto" w:sz="4" w:space="0"/>
                  </w:tcBorders>
                  <w:tcMar>
                    <w:top w:w="0" w:type="dxa"/>
                    <w:left w:w="0" w:type="dxa"/>
                    <w:bottom w:w="0" w:type="dxa"/>
                    <w:right w:w="0" w:type="dxa"/>
                  </w:tcMar>
                  <w:vAlign w:val="center"/>
                </w:tcPr>
                <w:p w14:paraId="7103B720">
                  <w:pPr>
                    <w:pStyle w:val="86"/>
                    <w:rPr>
                      <w:b/>
                      <w:bCs w:val="0"/>
                      <w:szCs w:val="21"/>
                    </w:rPr>
                  </w:pPr>
                  <w:r>
                    <w:rPr>
                      <w:b/>
                      <w:bCs w:val="0"/>
                    </w:rPr>
                    <w:t>序号</w:t>
                  </w:r>
                </w:p>
              </w:tc>
              <w:tc>
                <w:tcPr>
                  <w:tcW w:w="416" w:type="dxa"/>
                  <w:vMerge w:val="restart"/>
                  <w:tcBorders>
                    <w:top w:val="single" w:color="auto" w:sz="8" w:space="0"/>
                    <w:left w:val="nil"/>
                    <w:bottom w:val="single" w:color="auto" w:sz="4" w:space="0"/>
                    <w:right w:val="single" w:color="auto" w:sz="4" w:space="0"/>
                  </w:tcBorders>
                  <w:vAlign w:val="center"/>
                </w:tcPr>
                <w:p w14:paraId="36953479">
                  <w:pPr>
                    <w:pStyle w:val="86"/>
                    <w:rPr>
                      <w:b/>
                      <w:bCs w:val="0"/>
                    </w:rPr>
                  </w:pPr>
                  <w:r>
                    <w:rPr>
                      <w:b/>
                      <w:bCs w:val="0"/>
                    </w:rPr>
                    <w:t>废水类别</w:t>
                  </w:r>
                </w:p>
              </w:tc>
              <w:tc>
                <w:tcPr>
                  <w:tcW w:w="1074" w:type="dxa"/>
                  <w:vMerge w:val="restart"/>
                  <w:tcBorders>
                    <w:top w:val="single" w:color="auto" w:sz="8" w:space="0"/>
                    <w:left w:val="nil"/>
                    <w:bottom w:val="single" w:color="auto" w:sz="4" w:space="0"/>
                    <w:right w:val="single" w:color="auto" w:sz="4" w:space="0"/>
                  </w:tcBorders>
                  <w:vAlign w:val="center"/>
                </w:tcPr>
                <w:p w14:paraId="150AC486">
                  <w:pPr>
                    <w:pStyle w:val="86"/>
                    <w:rPr>
                      <w:b/>
                      <w:bCs w:val="0"/>
                    </w:rPr>
                  </w:pPr>
                  <w:r>
                    <w:rPr>
                      <w:b/>
                      <w:bCs w:val="0"/>
                    </w:rPr>
                    <w:t>污染物种类</w:t>
                  </w:r>
                </w:p>
              </w:tc>
              <w:tc>
                <w:tcPr>
                  <w:tcW w:w="709" w:type="dxa"/>
                  <w:vMerge w:val="restart"/>
                  <w:tcBorders>
                    <w:top w:val="single" w:color="auto" w:sz="8" w:space="0"/>
                    <w:left w:val="nil"/>
                    <w:bottom w:val="single" w:color="auto" w:sz="4" w:space="0"/>
                    <w:right w:val="single" w:color="auto" w:sz="4" w:space="0"/>
                  </w:tcBorders>
                  <w:vAlign w:val="center"/>
                </w:tcPr>
                <w:p w14:paraId="592215DB">
                  <w:pPr>
                    <w:pStyle w:val="86"/>
                    <w:rPr>
                      <w:b/>
                      <w:bCs w:val="0"/>
                    </w:rPr>
                  </w:pPr>
                  <w:r>
                    <w:rPr>
                      <w:b/>
                      <w:bCs w:val="0"/>
                    </w:rPr>
                    <w:t>排放去向</w:t>
                  </w:r>
                </w:p>
              </w:tc>
              <w:tc>
                <w:tcPr>
                  <w:tcW w:w="850" w:type="dxa"/>
                  <w:vMerge w:val="restart"/>
                  <w:tcBorders>
                    <w:top w:val="single" w:color="auto" w:sz="8" w:space="0"/>
                    <w:left w:val="nil"/>
                    <w:bottom w:val="single" w:color="auto" w:sz="4" w:space="0"/>
                    <w:right w:val="single" w:color="auto" w:sz="4" w:space="0"/>
                  </w:tcBorders>
                  <w:vAlign w:val="center"/>
                </w:tcPr>
                <w:p w14:paraId="0BAD4FD9">
                  <w:pPr>
                    <w:pStyle w:val="86"/>
                    <w:rPr>
                      <w:b/>
                      <w:bCs w:val="0"/>
                    </w:rPr>
                  </w:pPr>
                  <w:r>
                    <w:rPr>
                      <w:b/>
                      <w:bCs w:val="0"/>
                    </w:rPr>
                    <w:t>排放规律</w:t>
                  </w:r>
                </w:p>
              </w:tc>
              <w:tc>
                <w:tcPr>
                  <w:tcW w:w="2410" w:type="dxa"/>
                  <w:gridSpan w:val="3"/>
                  <w:tcBorders>
                    <w:top w:val="single" w:color="auto" w:sz="8" w:space="0"/>
                    <w:left w:val="nil"/>
                    <w:bottom w:val="single" w:color="auto" w:sz="4" w:space="0"/>
                    <w:right w:val="single" w:color="auto" w:sz="4" w:space="0"/>
                  </w:tcBorders>
                  <w:vAlign w:val="center"/>
                </w:tcPr>
                <w:p w14:paraId="12DCF0C8">
                  <w:pPr>
                    <w:pStyle w:val="86"/>
                    <w:rPr>
                      <w:b/>
                      <w:bCs w:val="0"/>
                    </w:rPr>
                  </w:pPr>
                  <w:r>
                    <w:rPr>
                      <w:b/>
                      <w:bCs w:val="0"/>
                    </w:rPr>
                    <w:t>污染治理措施</w:t>
                  </w:r>
                </w:p>
              </w:tc>
              <w:tc>
                <w:tcPr>
                  <w:tcW w:w="709" w:type="dxa"/>
                  <w:vMerge w:val="restart"/>
                  <w:tcBorders>
                    <w:top w:val="single" w:color="auto" w:sz="8" w:space="0"/>
                    <w:left w:val="nil"/>
                    <w:bottom w:val="single" w:color="auto" w:sz="4" w:space="0"/>
                    <w:right w:val="single" w:color="auto" w:sz="4" w:space="0"/>
                  </w:tcBorders>
                  <w:vAlign w:val="center"/>
                </w:tcPr>
                <w:p w14:paraId="410DDDEE">
                  <w:pPr>
                    <w:pStyle w:val="86"/>
                    <w:rPr>
                      <w:b/>
                      <w:bCs w:val="0"/>
                    </w:rPr>
                  </w:pPr>
                  <w:r>
                    <w:rPr>
                      <w:b/>
                      <w:bCs w:val="0"/>
                    </w:rPr>
                    <w:t>排放口编号</w:t>
                  </w:r>
                </w:p>
              </w:tc>
              <w:tc>
                <w:tcPr>
                  <w:tcW w:w="850" w:type="dxa"/>
                  <w:vMerge w:val="restart"/>
                  <w:tcBorders>
                    <w:top w:val="single" w:color="auto" w:sz="8" w:space="0"/>
                    <w:left w:val="nil"/>
                    <w:bottom w:val="single" w:color="auto" w:sz="4" w:space="0"/>
                    <w:right w:val="single" w:color="auto" w:sz="4" w:space="0"/>
                  </w:tcBorders>
                  <w:vAlign w:val="center"/>
                </w:tcPr>
                <w:p w14:paraId="4C07D2EB">
                  <w:pPr>
                    <w:pStyle w:val="86"/>
                    <w:rPr>
                      <w:b/>
                      <w:bCs w:val="0"/>
                    </w:rPr>
                  </w:pPr>
                  <w:r>
                    <w:rPr>
                      <w:b/>
                      <w:bCs w:val="0"/>
                    </w:rPr>
                    <w:t>排放口设置是否符合要求</w:t>
                  </w:r>
                </w:p>
              </w:tc>
              <w:tc>
                <w:tcPr>
                  <w:tcW w:w="1375" w:type="dxa"/>
                  <w:vMerge w:val="restart"/>
                  <w:tcBorders>
                    <w:top w:val="single" w:color="auto" w:sz="8" w:space="0"/>
                    <w:left w:val="nil"/>
                    <w:bottom w:val="single" w:color="auto" w:sz="4" w:space="0"/>
                    <w:right w:val="nil"/>
                  </w:tcBorders>
                  <w:vAlign w:val="center"/>
                </w:tcPr>
                <w:p w14:paraId="63336AF1">
                  <w:pPr>
                    <w:pStyle w:val="86"/>
                    <w:rPr>
                      <w:b/>
                      <w:bCs w:val="0"/>
                    </w:rPr>
                  </w:pPr>
                  <w:r>
                    <w:rPr>
                      <w:b/>
                      <w:bCs w:val="0"/>
                    </w:rPr>
                    <w:t>排放口类型</w:t>
                  </w:r>
                </w:p>
              </w:tc>
            </w:tr>
            <w:tr w14:paraId="0AA779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dxa"/>
                  <w:vMerge w:val="continue"/>
                  <w:tcBorders>
                    <w:top w:val="single" w:color="auto" w:sz="8" w:space="0"/>
                    <w:left w:val="nil"/>
                    <w:bottom w:val="single" w:color="auto" w:sz="4" w:space="0"/>
                    <w:right w:val="single" w:color="auto" w:sz="4" w:space="0"/>
                  </w:tcBorders>
                  <w:vAlign w:val="center"/>
                </w:tcPr>
                <w:p w14:paraId="348AE550">
                  <w:pPr>
                    <w:pStyle w:val="81"/>
                  </w:pPr>
                </w:p>
              </w:tc>
              <w:tc>
                <w:tcPr>
                  <w:tcW w:w="416" w:type="dxa"/>
                  <w:vMerge w:val="continue"/>
                  <w:tcBorders>
                    <w:top w:val="single" w:color="auto" w:sz="8" w:space="0"/>
                    <w:left w:val="nil"/>
                    <w:bottom w:val="single" w:color="auto" w:sz="4" w:space="0"/>
                    <w:right w:val="single" w:color="auto" w:sz="4" w:space="0"/>
                  </w:tcBorders>
                  <w:vAlign w:val="center"/>
                </w:tcPr>
                <w:p w14:paraId="4F8BFE3C">
                  <w:pPr>
                    <w:pStyle w:val="81"/>
                  </w:pPr>
                </w:p>
              </w:tc>
              <w:tc>
                <w:tcPr>
                  <w:tcW w:w="1074" w:type="dxa"/>
                  <w:vMerge w:val="continue"/>
                  <w:tcBorders>
                    <w:top w:val="single" w:color="auto" w:sz="8" w:space="0"/>
                    <w:left w:val="nil"/>
                    <w:bottom w:val="single" w:color="auto" w:sz="4" w:space="0"/>
                    <w:right w:val="single" w:color="auto" w:sz="4" w:space="0"/>
                  </w:tcBorders>
                  <w:vAlign w:val="center"/>
                </w:tcPr>
                <w:p w14:paraId="48A52B46">
                  <w:pPr>
                    <w:pStyle w:val="81"/>
                  </w:pPr>
                </w:p>
              </w:tc>
              <w:tc>
                <w:tcPr>
                  <w:tcW w:w="709" w:type="dxa"/>
                  <w:vMerge w:val="continue"/>
                  <w:tcBorders>
                    <w:top w:val="single" w:color="auto" w:sz="8" w:space="0"/>
                    <w:left w:val="nil"/>
                    <w:bottom w:val="single" w:color="auto" w:sz="4" w:space="0"/>
                    <w:right w:val="single" w:color="auto" w:sz="4" w:space="0"/>
                  </w:tcBorders>
                  <w:vAlign w:val="center"/>
                </w:tcPr>
                <w:p w14:paraId="0379F05A">
                  <w:pPr>
                    <w:pStyle w:val="81"/>
                  </w:pPr>
                </w:p>
              </w:tc>
              <w:tc>
                <w:tcPr>
                  <w:tcW w:w="850" w:type="dxa"/>
                  <w:vMerge w:val="continue"/>
                  <w:tcBorders>
                    <w:top w:val="single" w:color="auto" w:sz="8" w:space="0"/>
                    <w:left w:val="nil"/>
                    <w:bottom w:val="single" w:color="auto" w:sz="4" w:space="0"/>
                    <w:right w:val="single" w:color="auto" w:sz="4" w:space="0"/>
                  </w:tcBorders>
                  <w:vAlign w:val="center"/>
                </w:tcPr>
                <w:p w14:paraId="780670F4">
                  <w:pPr>
                    <w:pStyle w:val="81"/>
                  </w:pPr>
                </w:p>
              </w:tc>
              <w:tc>
                <w:tcPr>
                  <w:tcW w:w="851" w:type="dxa"/>
                  <w:tcBorders>
                    <w:top w:val="single" w:color="auto" w:sz="4" w:space="0"/>
                    <w:left w:val="nil"/>
                    <w:bottom w:val="single" w:color="auto" w:sz="4" w:space="0"/>
                    <w:right w:val="single" w:color="auto" w:sz="4" w:space="0"/>
                  </w:tcBorders>
                  <w:vAlign w:val="center"/>
                </w:tcPr>
                <w:p w14:paraId="2A282CB0">
                  <w:pPr>
                    <w:pStyle w:val="86"/>
                    <w:rPr>
                      <w:b/>
                      <w:bCs w:val="0"/>
                    </w:rPr>
                  </w:pPr>
                  <w:r>
                    <w:rPr>
                      <w:b/>
                      <w:bCs w:val="0"/>
                    </w:rPr>
                    <w:t>污染治理措施编号</w:t>
                  </w:r>
                </w:p>
              </w:tc>
              <w:tc>
                <w:tcPr>
                  <w:tcW w:w="850" w:type="dxa"/>
                  <w:tcBorders>
                    <w:top w:val="single" w:color="auto" w:sz="4" w:space="0"/>
                    <w:left w:val="nil"/>
                    <w:bottom w:val="single" w:color="auto" w:sz="4" w:space="0"/>
                    <w:right w:val="single" w:color="auto" w:sz="4" w:space="0"/>
                  </w:tcBorders>
                  <w:vAlign w:val="center"/>
                </w:tcPr>
                <w:p w14:paraId="62473314">
                  <w:pPr>
                    <w:pStyle w:val="86"/>
                    <w:rPr>
                      <w:b/>
                      <w:bCs w:val="0"/>
                    </w:rPr>
                  </w:pPr>
                  <w:r>
                    <w:rPr>
                      <w:b/>
                      <w:bCs w:val="0"/>
                    </w:rPr>
                    <w:t>污染治理措施名称</w:t>
                  </w:r>
                </w:p>
              </w:tc>
              <w:tc>
                <w:tcPr>
                  <w:tcW w:w="709" w:type="dxa"/>
                  <w:tcBorders>
                    <w:top w:val="single" w:color="auto" w:sz="4" w:space="0"/>
                    <w:left w:val="nil"/>
                    <w:bottom w:val="single" w:color="auto" w:sz="4" w:space="0"/>
                    <w:right w:val="single" w:color="auto" w:sz="4" w:space="0"/>
                  </w:tcBorders>
                  <w:vAlign w:val="center"/>
                </w:tcPr>
                <w:p w14:paraId="607F699E">
                  <w:pPr>
                    <w:pStyle w:val="86"/>
                    <w:rPr>
                      <w:b/>
                      <w:bCs w:val="0"/>
                    </w:rPr>
                  </w:pPr>
                  <w:r>
                    <w:rPr>
                      <w:b/>
                      <w:bCs w:val="0"/>
                    </w:rPr>
                    <w:t>污染治理措施工艺</w:t>
                  </w:r>
                </w:p>
              </w:tc>
              <w:tc>
                <w:tcPr>
                  <w:tcW w:w="709" w:type="dxa"/>
                  <w:vMerge w:val="continue"/>
                  <w:tcBorders>
                    <w:top w:val="single" w:color="auto" w:sz="8" w:space="0"/>
                    <w:left w:val="nil"/>
                    <w:bottom w:val="single" w:color="auto" w:sz="4" w:space="0"/>
                    <w:right w:val="single" w:color="auto" w:sz="4" w:space="0"/>
                  </w:tcBorders>
                  <w:vAlign w:val="center"/>
                </w:tcPr>
                <w:p w14:paraId="1303CD0F">
                  <w:pPr>
                    <w:widowControl/>
                    <w:jc w:val="left"/>
                    <w:rPr>
                      <w:b/>
                      <w:bCs/>
                      <w:color w:val="000000"/>
                      <w:szCs w:val="21"/>
                    </w:rPr>
                  </w:pPr>
                </w:p>
              </w:tc>
              <w:tc>
                <w:tcPr>
                  <w:tcW w:w="850" w:type="dxa"/>
                  <w:vMerge w:val="continue"/>
                  <w:tcBorders>
                    <w:top w:val="single" w:color="auto" w:sz="8" w:space="0"/>
                    <w:left w:val="nil"/>
                    <w:bottom w:val="single" w:color="auto" w:sz="4" w:space="0"/>
                    <w:right w:val="single" w:color="auto" w:sz="4" w:space="0"/>
                  </w:tcBorders>
                  <w:vAlign w:val="center"/>
                </w:tcPr>
                <w:p w14:paraId="13DE7931">
                  <w:pPr>
                    <w:widowControl/>
                    <w:jc w:val="left"/>
                    <w:rPr>
                      <w:b/>
                      <w:bCs/>
                      <w:color w:val="000000"/>
                      <w:szCs w:val="21"/>
                    </w:rPr>
                  </w:pPr>
                </w:p>
              </w:tc>
              <w:tc>
                <w:tcPr>
                  <w:tcW w:w="1375" w:type="dxa"/>
                  <w:vMerge w:val="continue"/>
                  <w:tcBorders>
                    <w:top w:val="single" w:color="auto" w:sz="8" w:space="0"/>
                    <w:left w:val="nil"/>
                    <w:bottom w:val="single" w:color="auto" w:sz="4" w:space="0"/>
                    <w:right w:val="nil"/>
                  </w:tcBorders>
                  <w:vAlign w:val="center"/>
                </w:tcPr>
                <w:p w14:paraId="58DBFDE1">
                  <w:pPr>
                    <w:widowControl/>
                    <w:jc w:val="left"/>
                    <w:rPr>
                      <w:b/>
                      <w:bCs/>
                      <w:color w:val="000000"/>
                      <w:szCs w:val="21"/>
                    </w:rPr>
                  </w:pPr>
                </w:p>
              </w:tc>
            </w:tr>
            <w:tr w14:paraId="151F31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5F0F31E">
                  <w:pPr>
                    <w:jc w:val="center"/>
                    <w:rPr>
                      <w:color w:val="000000"/>
                    </w:rPr>
                  </w:pPr>
                  <w:r>
                    <w:rPr>
                      <w:color w:val="000000"/>
                    </w:rPr>
                    <w:t>1</w:t>
                  </w:r>
                </w:p>
              </w:tc>
              <w:tc>
                <w:tcPr>
                  <w:tcW w:w="416" w:type="dxa"/>
                  <w:tcBorders>
                    <w:top w:val="single" w:color="auto" w:sz="4" w:space="0"/>
                    <w:left w:val="nil"/>
                    <w:bottom w:val="single" w:color="auto" w:sz="4" w:space="0"/>
                    <w:right w:val="single" w:color="auto" w:sz="4" w:space="0"/>
                  </w:tcBorders>
                  <w:vAlign w:val="center"/>
                </w:tcPr>
                <w:p w14:paraId="17ABAE80">
                  <w:pPr>
                    <w:jc w:val="center"/>
                    <w:rPr>
                      <w:color w:val="000000"/>
                    </w:rPr>
                  </w:pPr>
                  <w:r>
                    <w:rPr>
                      <w:rFonts w:ascii="宋体" w:hAnsi="宋体"/>
                      <w:color w:val="000000"/>
                    </w:rPr>
                    <w:t>生活污水</w:t>
                  </w:r>
                </w:p>
              </w:tc>
              <w:tc>
                <w:tcPr>
                  <w:tcW w:w="1074" w:type="dxa"/>
                  <w:tcBorders>
                    <w:top w:val="single" w:color="auto" w:sz="4" w:space="0"/>
                    <w:left w:val="nil"/>
                    <w:bottom w:val="single" w:color="auto" w:sz="4" w:space="0"/>
                    <w:right w:val="single" w:color="auto" w:sz="4" w:space="0"/>
                  </w:tcBorders>
                  <w:vAlign w:val="center"/>
                </w:tcPr>
                <w:p w14:paraId="30522DDB">
                  <w:pPr>
                    <w:jc w:val="center"/>
                    <w:rPr>
                      <w:color w:val="000000"/>
                    </w:rPr>
                  </w:pPr>
                  <w:r>
                    <w:rPr>
                      <w:color w:val="000000"/>
                    </w:rPr>
                    <w:t>COD</w:t>
                  </w:r>
                  <w:r>
                    <w:rPr>
                      <w:rFonts w:ascii="宋体" w:hAnsi="宋体"/>
                      <w:color w:val="000000"/>
                    </w:rPr>
                    <w:t>、</w:t>
                  </w:r>
                  <w:r>
                    <w:rPr>
                      <w:color w:val="000000"/>
                    </w:rPr>
                    <w:t>NH</w:t>
                  </w:r>
                  <w:r>
                    <w:rPr>
                      <w:color w:val="000000"/>
                      <w:vertAlign w:val="subscript"/>
                    </w:rPr>
                    <w:t>3</w:t>
                  </w:r>
                  <w:r>
                    <w:rPr>
                      <w:color w:val="000000"/>
                    </w:rPr>
                    <w:t>-N</w:t>
                  </w:r>
                  <w:r>
                    <w:rPr>
                      <w:rFonts w:ascii="宋体" w:hAnsi="宋体"/>
                      <w:color w:val="000000"/>
                    </w:rPr>
                    <w:t>、</w:t>
                  </w:r>
                  <w:r>
                    <w:rPr>
                      <w:color w:val="000000"/>
                    </w:rPr>
                    <w:t>SS</w:t>
                  </w:r>
                  <w:r>
                    <w:rPr>
                      <w:rFonts w:ascii="宋体" w:hAnsi="宋体"/>
                      <w:color w:val="000000"/>
                    </w:rPr>
                    <w:t>、</w:t>
                  </w:r>
                  <w:r>
                    <w:rPr>
                      <w:color w:val="000000"/>
                    </w:rPr>
                    <w:t>TP</w:t>
                  </w:r>
                  <w:r>
                    <w:rPr>
                      <w:rFonts w:ascii="宋体" w:hAnsi="宋体"/>
                      <w:color w:val="000000"/>
                    </w:rPr>
                    <w:t>、</w:t>
                  </w:r>
                  <w:r>
                    <w:rPr>
                      <w:color w:val="000000"/>
                    </w:rPr>
                    <w:t>TN</w:t>
                  </w:r>
                </w:p>
              </w:tc>
              <w:tc>
                <w:tcPr>
                  <w:tcW w:w="709" w:type="dxa"/>
                  <w:vMerge w:val="restart"/>
                  <w:tcBorders>
                    <w:top w:val="single" w:color="auto" w:sz="4" w:space="0"/>
                    <w:left w:val="nil"/>
                    <w:right w:val="single" w:color="auto" w:sz="4" w:space="0"/>
                  </w:tcBorders>
                  <w:vAlign w:val="center"/>
                </w:tcPr>
                <w:p w14:paraId="5BB5FDBA">
                  <w:pPr>
                    <w:jc w:val="center"/>
                    <w:rPr>
                      <w:rFonts w:hint="eastAsia" w:ascii="宋体" w:hAnsi="宋体"/>
                      <w:color w:val="000000"/>
                    </w:rPr>
                  </w:pPr>
                  <w:r>
                    <w:rPr>
                      <w:rFonts w:hint="eastAsia" w:ascii="宋体" w:hAnsi="宋体"/>
                      <w:color w:val="000000"/>
                    </w:rPr>
                    <w:t>工业废水集中处理厂</w:t>
                  </w:r>
                </w:p>
              </w:tc>
              <w:tc>
                <w:tcPr>
                  <w:tcW w:w="850" w:type="dxa"/>
                  <w:vMerge w:val="restart"/>
                  <w:tcBorders>
                    <w:top w:val="single" w:color="auto" w:sz="4" w:space="0"/>
                    <w:left w:val="nil"/>
                    <w:right w:val="single" w:color="auto" w:sz="4" w:space="0"/>
                  </w:tcBorders>
                  <w:vAlign w:val="center"/>
                </w:tcPr>
                <w:p w14:paraId="6FD3BA3C">
                  <w:pPr>
                    <w:pStyle w:val="86"/>
                  </w:pPr>
                  <w:r>
                    <w:rPr>
                      <w:rFonts w:hint="eastAsia"/>
                    </w:rPr>
                    <w:t>间断排放，排放期间流量不稳定且无规律，但不属于冲击型排放</w:t>
                  </w:r>
                </w:p>
              </w:tc>
              <w:tc>
                <w:tcPr>
                  <w:tcW w:w="851" w:type="dxa"/>
                  <w:tcBorders>
                    <w:top w:val="single" w:color="auto" w:sz="4" w:space="0"/>
                    <w:left w:val="nil"/>
                    <w:bottom w:val="single" w:color="auto" w:sz="4" w:space="0"/>
                    <w:right w:val="single" w:color="auto" w:sz="4" w:space="0"/>
                  </w:tcBorders>
                  <w:vAlign w:val="center"/>
                </w:tcPr>
                <w:p w14:paraId="289C7EB1">
                  <w:pPr>
                    <w:jc w:val="center"/>
                    <w:rPr>
                      <w:color w:val="000000"/>
                    </w:rPr>
                  </w:pPr>
                  <w:r>
                    <w:rPr>
                      <w:color w:val="000000"/>
                    </w:rPr>
                    <w:t>TW001</w:t>
                  </w:r>
                </w:p>
              </w:tc>
              <w:tc>
                <w:tcPr>
                  <w:tcW w:w="850" w:type="dxa"/>
                  <w:tcBorders>
                    <w:top w:val="single" w:color="auto" w:sz="4" w:space="0"/>
                    <w:left w:val="nil"/>
                    <w:bottom w:val="single" w:color="auto" w:sz="4" w:space="0"/>
                    <w:right w:val="single" w:color="auto" w:sz="4" w:space="0"/>
                  </w:tcBorders>
                  <w:vAlign w:val="center"/>
                </w:tcPr>
                <w:p w14:paraId="16B51F8D">
                  <w:pPr>
                    <w:jc w:val="center"/>
                    <w:rPr>
                      <w:color w:val="000000"/>
                    </w:rPr>
                  </w:pPr>
                  <w:r>
                    <w:rPr>
                      <w:rFonts w:ascii="宋体" w:hAnsi="宋体"/>
                      <w:color w:val="000000"/>
                    </w:rPr>
                    <w:t>生活污水处理系统</w:t>
                  </w:r>
                </w:p>
              </w:tc>
              <w:tc>
                <w:tcPr>
                  <w:tcW w:w="709" w:type="dxa"/>
                  <w:tcBorders>
                    <w:top w:val="single" w:color="auto" w:sz="4" w:space="0"/>
                    <w:left w:val="nil"/>
                    <w:bottom w:val="single" w:color="auto" w:sz="4" w:space="0"/>
                    <w:right w:val="single" w:color="auto" w:sz="4" w:space="0"/>
                  </w:tcBorders>
                  <w:vAlign w:val="center"/>
                </w:tcPr>
                <w:p w14:paraId="3D881022">
                  <w:pPr>
                    <w:jc w:val="center"/>
                    <w:rPr>
                      <w:color w:val="000000"/>
                    </w:rPr>
                  </w:pPr>
                  <w:r>
                    <w:rPr>
                      <w:rFonts w:ascii="宋体" w:hAnsi="宋体"/>
                      <w:color w:val="000000"/>
                    </w:rPr>
                    <w:t>化粪池</w:t>
                  </w:r>
                </w:p>
              </w:tc>
              <w:tc>
                <w:tcPr>
                  <w:tcW w:w="709" w:type="dxa"/>
                  <w:vMerge w:val="restart"/>
                  <w:tcBorders>
                    <w:top w:val="single" w:color="auto" w:sz="4" w:space="0"/>
                    <w:left w:val="nil"/>
                    <w:right w:val="single" w:color="auto" w:sz="4" w:space="0"/>
                  </w:tcBorders>
                  <w:vAlign w:val="center"/>
                </w:tcPr>
                <w:p w14:paraId="27DFACC3">
                  <w:pPr>
                    <w:jc w:val="center"/>
                    <w:rPr>
                      <w:color w:val="000000"/>
                    </w:rPr>
                  </w:pPr>
                  <w:r>
                    <w:rPr>
                      <w:color w:val="000000"/>
                    </w:rPr>
                    <w:t>DW001</w:t>
                  </w:r>
                </w:p>
              </w:tc>
              <w:tc>
                <w:tcPr>
                  <w:tcW w:w="850" w:type="dxa"/>
                  <w:vMerge w:val="restart"/>
                  <w:tcBorders>
                    <w:top w:val="single" w:color="auto" w:sz="4" w:space="0"/>
                    <w:left w:val="nil"/>
                    <w:right w:val="single" w:color="auto" w:sz="4" w:space="0"/>
                  </w:tcBorders>
                  <w:vAlign w:val="center"/>
                </w:tcPr>
                <w:p w14:paraId="4AF38876">
                  <w:pPr>
                    <w:jc w:val="left"/>
                    <w:rPr>
                      <w:color w:val="000000"/>
                    </w:rPr>
                  </w:pPr>
                  <w:r>
                    <w:rPr>
                      <w:rFonts w:ascii="Wingdings" w:hAnsi="Wingdings"/>
                      <w:color w:val="000000"/>
                    </w:rPr>
                    <w:t>þ</w:t>
                  </w:r>
                  <w:r>
                    <w:rPr>
                      <w:rFonts w:ascii="宋体" w:hAnsi="宋体"/>
                      <w:color w:val="000000"/>
                    </w:rPr>
                    <w:t>是</w:t>
                  </w:r>
                </w:p>
                <w:p w14:paraId="7BC6E59D">
                  <w:pPr>
                    <w:rPr>
                      <w:color w:val="000000"/>
                    </w:rPr>
                  </w:pPr>
                  <w:r>
                    <w:rPr>
                      <w:color w:val="000000"/>
                    </w:rPr>
                    <w:t xml:space="preserve">□ </w:t>
                  </w:r>
                  <w:r>
                    <w:rPr>
                      <w:rFonts w:ascii="宋体" w:hAnsi="宋体"/>
                      <w:color w:val="000000"/>
                    </w:rPr>
                    <w:t>否</w:t>
                  </w:r>
                </w:p>
              </w:tc>
              <w:tc>
                <w:tcPr>
                  <w:tcW w:w="1375" w:type="dxa"/>
                  <w:vMerge w:val="restart"/>
                  <w:tcBorders>
                    <w:top w:val="single" w:color="auto" w:sz="4" w:space="0"/>
                    <w:left w:val="nil"/>
                    <w:right w:val="nil"/>
                  </w:tcBorders>
                  <w:vAlign w:val="center"/>
                </w:tcPr>
                <w:p w14:paraId="1863B492">
                  <w:pPr>
                    <w:jc w:val="left"/>
                    <w:rPr>
                      <w:color w:val="000000"/>
                    </w:rPr>
                  </w:pPr>
                  <w:r>
                    <w:rPr>
                      <w:rFonts w:ascii="Wingdings" w:hAnsi="Wingdings"/>
                      <w:color w:val="000000"/>
                    </w:rPr>
                    <w:t>þ</w:t>
                  </w:r>
                  <w:r>
                    <w:rPr>
                      <w:rFonts w:ascii="宋体" w:hAnsi="宋体"/>
                      <w:color w:val="000000"/>
                    </w:rPr>
                    <w:t>企业总排</w:t>
                  </w:r>
                </w:p>
                <w:p w14:paraId="4412F452">
                  <w:pPr>
                    <w:jc w:val="left"/>
                    <w:rPr>
                      <w:color w:val="000000"/>
                    </w:rPr>
                  </w:pPr>
                  <w:r>
                    <w:rPr>
                      <w:color w:val="000000"/>
                    </w:rPr>
                    <w:t>□</w:t>
                  </w:r>
                  <w:r>
                    <w:rPr>
                      <w:rFonts w:ascii="宋体" w:hAnsi="宋体"/>
                      <w:color w:val="000000"/>
                    </w:rPr>
                    <w:t>雨水排放</w:t>
                  </w:r>
                </w:p>
                <w:p w14:paraId="2633B8DE">
                  <w:pPr>
                    <w:jc w:val="left"/>
                    <w:rPr>
                      <w:color w:val="000000"/>
                    </w:rPr>
                  </w:pPr>
                  <w:r>
                    <w:rPr>
                      <w:color w:val="000000"/>
                    </w:rPr>
                    <w:t>□</w:t>
                  </w:r>
                  <w:r>
                    <w:rPr>
                      <w:rFonts w:ascii="宋体" w:hAnsi="宋体"/>
                      <w:color w:val="000000"/>
                    </w:rPr>
                    <w:t>清净下水排放</w:t>
                  </w:r>
                </w:p>
                <w:p w14:paraId="2947F6A4">
                  <w:pPr>
                    <w:jc w:val="left"/>
                    <w:rPr>
                      <w:color w:val="000000"/>
                    </w:rPr>
                  </w:pPr>
                  <w:r>
                    <w:rPr>
                      <w:color w:val="000000"/>
                    </w:rPr>
                    <w:t>□</w:t>
                  </w:r>
                  <w:r>
                    <w:rPr>
                      <w:rFonts w:ascii="宋体" w:hAnsi="宋体"/>
                      <w:color w:val="000000"/>
                    </w:rPr>
                    <w:t>温排水排放</w:t>
                  </w:r>
                </w:p>
                <w:p w14:paraId="48CDAAD3">
                  <w:pPr>
                    <w:rPr>
                      <w:color w:val="000000"/>
                    </w:rPr>
                  </w:pPr>
                  <w:r>
                    <w:rPr>
                      <w:color w:val="000000"/>
                    </w:rPr>
                    <w:t>□</w:t>
                  </w:r>
                  <w:r>
                    <w:rPr>
                      <w:rFonts w:ascii="宋体" w:hAnsi="宋体"/>
                      <w:color w:val="000000"/>
                    </w:rPr>
                    <w:t>车间或车间处理设施排放口排放</w:t>
                  </w:r>
                </w:p>
              </w:tc>
            </w:tr>
            <w:tr w14:paraId="70A9E7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dxa"/>
                  <w:tcBorders>
                    <w:top w:val="single" w:color="auto" w:sz="4" w:space="0"/>
                    <w:left w:val="nil"/>
                    <w:bottom w:val="single" w:color="auto" w:sz="8" w:space="0"/>
                    <w:right w:val="single" w:color="auto" w:sz="4" w:space="0"/>
                  </w:tcBorders>
                  <w:tcMar>
                    <w:top w:w="0" w:type="dxa"/>
                    <w:left w:w="0" w:type="dxa"/>
                    <w:bottom w:w="0" w:type="dxa"/>
                    <w:right w:w="0" w:type="dxa"/>
                  </w:tcMar>
                  <w:vAlign w:val="center"/>
                </w:tcPr>
                <w:p w14:paraId="657494CD">
                  <w:pPr>
                    <w:jc w:val="center"/>
                    <w:rPr>
                      <w:color w:val="000000"/>
                    </w:rPr>
                  </w:pPr>
                  <w:r>
                    <w:rPr>
                      <w:rFonts w:hint="eastAsia"/>
                      <w:color w:val="000000"/>
                    </w:rPr>
                    <w:t>2</w:t>
                  </w:r>
                </w:p>
              </w:tc>
              <w:tc>
                <w:tcPr>
                  <w:tcW w:w="416" w:type="dxa"/>
                  <w:tcBorders>
                    <w:top w:val="single" w:color="auto" w:sz="4" w:space="0"/>
                    <w:left w:val="nil"/>
                    <w:bottom w:val="single" w:color="auto" w:sz="8" w:space="0"/>
                    <w:right w:val="single" w:color="auto" w:sz="4" w:space="0"/>
                  </w:tcBorders>
                  <w:vAlign w:val="center"/>
                </w:tcPr>
                <w:p w14:paraId="447D7183">
                  <w:pPr>
                    <w:jc w:val="center"/>
                    <w:rPr>
                      <w:rFonts w:hint="eastAsia" w:ascii="宋体" w:hAnsi="宋体"/>
                      <w:color w:val="000000"/>
                    </w:rPr>
                  </w:pPr>
                  <w:r>
                    <w:rPr>
                      <w:rFonts w:hint="eastAsia" w:ascii="宋体" w:hAnsi="宋体"/>
                      <w:color w:val="000000"/>
                    </w:rPr>
                    <w:t>生产废水</w:t>
                  </w:r>
                </w:p>
              </w:tc>
              <w:tc>
                <w:tcPr>
                  <w:tcW w:w="1074" w:type="dxa"/>
                  <w:tcBorders>
                    <w:top w:val="single" w:color="auto" w:sz="4" w:space="0"/>
                    <w:left w:val="nil"/>
                    <w:bottom w:val="single" w:color="auto" w:sz="8" w:space="0"/>
                    <w:right w:val="single" w:color="auto" w:sz="4" w:space="0"/>
                  </w:tcBorders>
                  <w:vAlign w:val="center"/>
                </w:tcPr>
                <w:p w14:paraId="1B787DCB">
                  <w:pPr>
                    <w:jc w:val="center"/>
                    <w:rPr>
                      <w:color w:val="000000"/>
                    </w:rPr>
                  </w:pPr>
                  <w:r>
                    <w:rPr>
                      <w:color w:val="000000"/>
                    </w:rPr>
                    <w:t>COD</w:t>
                  </w:r>
                  <w:r>
                    <w:rPr>
                      <w:rFonts w:ascii="宋体" w:hAnsi="宋体"/>
                      <w:color w:val="000000"/>
                    </w:rPr>
                    <w:t>、</w:t>
                  </w:r>
                  <w:r>
                    <w:rPr>
                      <w:color w:val="000000"/>
                    </w:rPr>
                    <w:t>NH</w:t>
                  </w:r>
                  <w:r>
                    <w:rPr>
                      <w:color w:val="000000"/>
                      <w:vertAlign w:val="subscript"/>
                    </w:rPr>
                    <w:t>3</w:t>
                  </w:r>
                  <w:r>
                    <w:rPr>
                      <w:color w:val="000000"/>
                    </w:rPr>
                    <w:t>-N</w:t>
                  </w:r>
                  <w:r>
                    <w:rPr>
                      <w:rFonts w:ascii="宋体" w:hAnsi="宋体"/>
                      <w:color w:val="000000"/>
                    </w:rPr>
                    <w:t>、</w:t>
                  </w:r>
                  <w:r>
                    <w:rPr>
                      <w:color w:val="000000"/>
                    </w:rPr>
                    <w:t>SS</w:t>
                  </w:r>
                  <w:r>
                    <w:rPr>
                      <w:rFonts w:ascii="宋体" w:hAnsi="宋体"/>
                      <w:color w:val="000000"/>
                    </w:rPr>
                    <w:t>、</w:t>
                  </w:r>
                  <w:r>
                    <w:rPr>
                      <w:color w:val="000000"/>
                    </w:rPr>
                    <w:t>TP</w:t>
                  </w:r>
                  <w:r>
                    <w:rPr>
                      <w:rFonts w:ascii="宋体" w:hAnsi="宋体"/>
                      <w:color w:val="000000"/>
                    </w:rPr>
                    <w:t>、</w:t>
                  </w:r>
                  <w:r>
                    <w:rPr>
                      <w:color w:val="000000"/>
                    </w:rPr>
                    <w:t>TN</w:t>
                  </w:r>
                </w:p>
              </w:tc>
              <w:tc>
                <w:tcPr>
                  <w:tcW w:w="709" w:type="dxa"/>
                  <w:vMerge w:val="continue"/>
                  <w:tcBorders>
                    <w:left w:val="nil"/>
                    <w:bottom w:val="single" w:color="auto" w:sz="8" w:space="0"/>
                    <w:right w:val="single" w:color="auto" w:sz="4" w:space="0"/>
                  </w:tcBorders>
                  <w:vAlign w:val="center"/>
                </w:tcPr>
                <w:p w14:paraId="787E87FE">
                  <w:pPr>
                    <w:jc w:val="center"/>
                    <w:rPr>
                      <w:rFonts w:hint="eastAsia" w:ascii="宋体" w:hAnsi="宋体"/>
                      <w:color w:val="000000"/>
                    </w:rPr>
                  </w:pPr>
                </w:p>
              </w:tc>
              <w:tc>
                <w:tcPr>
                  <w:tcW w:w="850" w:type="dxa"/>
                  <w:vMerge w:val="continue"/>
                  <w:tcBorders>
                    <w:left w:val="nil"/>
                    <w:bottom w:val="single" w:color="auto" w:sz="8" w:space="0"/>
                    <w:right w:val="single" w:color="auto" w:sz="4" w:space="0"/>
                  </w:tcBorders>
                  <w:vAlign w:val="center"/>
                </w:tcPr>
                <w:p w14:paraId="293424C5">
                  <w:pPr>
                    <w:pStyle w:val="86"/>
                  </w:pPr>
                </w:p>
              </w:tc>
              <w:tc>
                <w:tcPr>
                  <w:tcW w:w="851" w:type="dxa"/>
                  <w:tcBorders>
                    <w:top w:val="single" w:color="auto" w:sz="4" w:space="0"/>
                    <w:left w:val="nil"/>
                    <w:bottom w:val="single" w:color="auto" w:sz="8" w:space="0"/>
                    <w:right w:val="single" w:color="auto" w:sz="4" w:space="0"/>
                  </w:tcBorders>
                  <w:vAlign w:val="center"/>
                </w:tcPr>
                <w:p w14:paraId="50735908">
                  <w:pPr>
                    <w:jc w:val="center"/>
                    <w:rPr>
                      <w:color w:val="000000"/>
                    </w:rPr>
                  </w:pPr>
                  <w:r>
                    <w:rPr>
                      <w:color w:val="000000"/>
                    </w:rPr>
                    <w:t>TW002</w:t>
                  </w:r>
                </w:p>
              </w:tc>
              <w:tc>
                <w:tcPr>
                  <w:tcW w:w="850" w:type="dxa"/>
                  <w:tcBorders>
                    <w:top w:val="single" w:color="auto" w:sz="4" w:space="0"/>
                    <w:left w:val="nil"/>
                    <w:bottom w:val="single" w:color="auto" w:sz="8" w:space="0"/>
                    <w:right w:val="single" w:color="auto" w:sz="4" w:space="0"/>
                  </w:tcBorders>
                  <w:vAlign w:val="center"/>
                </w:tcPr>
                <w:p w14:paraId="742B5BF9">
                  <w:pPr>
                    <w:jc w:val="center"/>
                    <w:rPr>
                      <w:rFonts w:hint="eastAsia" w:ascii="宋体" w:hAnsi="宋体"/>
                      <w:color w:val="000000"/>
                    </w:rPr>
                  </w:pPr>
                  <w:r>
                    <w:rPr>
                      <w:rFonts w:hint="eastAsia" w:ascii="宋体" w:hAnsi="宋体"/>
                      <w:color w:val="000000"/>
                    </w:rPr>
                    <w:t>一体化污水处理站</w:t>
                  </w:r>
                </w:p>
              </w:tc>
              <w:tc>
                <w:tcPr>
                  <w:tcW w:w="709" w:type="dxa"/>
                  <w:tcBorders>
                    <w:top w:val="single" w:color="auto" w:sz="4" w:space="0"/>
                    <w:left w:val="nil"/>
                    <w:bottom w:val="single" w:color="auto" w:sz="8" w:space="0"/>
                    <w:right w:val="single" w:color="auto" w:sz="4" w:space="0"/>
                  </w:tcBorders>
                  <w:vAlign w:val="center"/>
                </w:tcPr>
                <w:p w14:paraId="3E745804">
                  <w:pPr>
                    <w:jc w:val="center"/>
                    <w:rPr>
                      <w:rFonts w:hint="eastAsia" w:ascii="宋体" w:hAnsi="宋体"/>
                      <w:color w:val="000000"/>
                    </w:rPr>
                  </w:pPr>
                  <w:r>
                    <w:rPr>
                      <w:rFonts w:hint="eastAsia" w:ascii="宋体" w:hAnsi="宋体"/>
                      <w:color w:val="000000"/>
                    </w:rPr>
                    <w:t>调节池+混凝沉淀</w:t>
                  </w:r>
                </w:p>
              </w:tc>
              <w:tc>
                <w:tcPr>
                  <w:tcW w:w="709" w:type="dxa"/>
                  <w:vMerge w:val="continue"/>
                  <w:tcBorders>
                    <w:left w:val="nil"/>
                    <w:bottom w:val="single" w:color="auto" w:sz="8" w:space="0"/>
                    <w:right w:val="single" w:color="auto" w:sz="4" w:space="0"/>
                  </w:tcBorders>
                  <w:vAlign w:val="center"/>
                </w:tcPr>
                <w:p w14:paraId="10617556">
                  <w:pPr>
                    <w:jc w:val="center"/>
                    <w:rPr>
                      <w:color w:val="000000"/>
                    </w:rPr>
                  </w:pPr>
                </w:p>
              </w:tc>
              <w:tc>
                <w:tcPr>
                  <w:tcW w:w="850" w:type="dxa"/>
                  <w:vMerge w:val="continue"/>
                  <w:tcBorders>
                    <w:left w:val="nil"/>
                    <w:bottom w:val="single" w:color="auto" w:sz="8" w:space="0"/>
                    <w:right w:val="single" w:color="auto" w:sz="4" w:space="0"/>
                  </w:tcBorders>
                  <w:vAlign w:val="center"/>
                </w:tcPr>
                <w:p w14:paraId="05DF1C98">
                  <w:pPr>
                    <w:jc w:val="left"/>
                    <w:rPr>
                      <w:rFonts w:hint="eastAsia" w:ascii="Wingdings" w:hAnsi="Wingdings"/>
                      <w:color w:val="000000"/>
                    </w:rPr>
                  </w:pPr>
                </w:p>
              </w:tc>
              <w:tc>
                <w:tcPr>
                  <w:tcW w:w="1375" w:type="dxa"/>
                  <w:vMerge w:val="continue"/>
                  <w:tcBorders>
                    <w:left w:val="nil"/>
                    <w:bottom w:val="single" w:color="auto" w:sz="8" w:space="0"/>
                    <w:right w:val="nil"/>
                  </w:tcBorders>
                  <w:vAlign w:val="center"/>
                </w:tcPr>
                <w:p w14:paraId="5B58971C">
                  <w:pPr>
                    <w:jc w:val="left"/>
                    <w:rPr>
                      <w:rFonts w:hint="eastAsia" w:ascii="Wingdings" w:hAnsi="Wingdings"/>
                      <w:color w:val="000000"/>
                    </w:rPr>
                  </w:pPr>
                </w:p>
              </w:tc>
            </w:tr>
          </w:tbl>
          <w:p w14:paraId="68C65472">
            <w:pPr>
              <w:pStyle w:val="28"/>
              <w:ind w:firstLine="480"/>
            </w:pPr>
            <w:r>
              <w:rPr>
                <w:rFonts w:hint="eastAsia"/>
              </w:rPr>
              <w:t>②</w:t>
            </w:r>
            <w:r>
              <w:t>废水间接排放口基本情况</w:t>
            </w:r>
          </w:p>
          <w:p w14:paraId="1BA2847D">
            <w:pPr>
              <w:pStyle w:val="67"/>
              <w:ind w:firstLine="480"/>
            </w:pPr>
            <w:r>
              <w:t xml:space="preserve">              </w:t>
            </w:r>
            <w:r>
              <w:rPr>
                <w:rFonts w:ascii="黑体" w:hAnsi="黑体"/>
              </w:rPr>
              <w:t>废水间接排放口基本情况表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4"/>
              <w:gridCol w:w="882"/>
              <w:gridCol w:w="1214"/>
              <w:gridCol w:w="1109"/>
              <w:gridCol w:w="814"/>
              <w:gridCol w:w="527"/>
              <w:gridCol w:w="526"/>
              <w:gridCol w:w="755"/>
              <w:gridCol w:w="581"/>
              <w:gridCol w:w="715"/>
              <w:gridCol w:w="1152"/>
            </w:tblGrid>
            <w:tr w14:paraId="35E3E8C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dxa"/>
                  <w:vMerge w:val="restart"/>
                  <w:tcMar>
                    <w:top w:w="0" w:type="dxa"/>
                    <w:left w:w="0" w:type="dxa"/>
                    <w:bottom w:w="0" w:type="dxa"/>
                    <w:right w:w="0" w:type="dxa"/>
                  </w:tcMar>
                  <w:vAlign w:val="center"/>
                </w:tcPr>
                <w:p w14:paraId="44C1788A">
                  <w:pPr>
                    <w:pStyle w:val="86"/>
                    <w:rPr>
                      <w:b/>
                      <w:bCs w:val="0"/>
                      <w:szCs w:val="21"/>
                    </w:rPr>
                  </w:pPr>
                  <w:r>
                    <w:rPr>
                      <w:b/>
                      <w:bCs w:val="0"/>
                    </w:rPr>
                    <w:t>序号</w:t>
                  </w:r>
                </w:p>
              </w:tc>
              <w:tc>
                <w:tcPr>
                  <w:tcW w:w="725" w:type="dxa"/>
                  <w:vMerge w:val="restart"/>
                  <w:vAlign w:val="center"/>
                </w:tcPr>
                <w:p w14:paraId="4D3A2AC3">
                  <w:pPr>
                    <w:pStyle w:val="86"/>
                    <w:rPr>
                      <w:b/>
                      <w:bCs w:val="0"/>
                    </w:rPr>
                  </w:pPr>
                  <w:r>
                    <w:rPr>
                      <w:b/>
                      <w:bCs w:val="0"/>
                    </w:rPr>
                    <w:t>排放口编号</w:t>
                  </w:r>
                </w:p>
              </w:tc>
              <w:tc>
                <w:tcPr>
                  <w:tcW w:w="1417" w:type="dxa"/>
                  <w:gridSpan w:val="2"/>
                  <w:vAlign w:val="center"/>
                </w:tcPr>
                <w:p w14:paraId="4B875281">
                  <w:pPr>
                    <w:pStyle w:val="86"/>
                    <w:rPr>
                      <w:b/>
                      <w:bCs w:val="0"/>
                    </w:rPr>
                  </w:pPr>
                  <w:r>
                    <w:rPr>
                      <w:b/>
                      <w:bCs w:val="0"/>
                    </w:rPr>
                    <w:t>排放口地理坐标</w:t>
                  </w:r>
                </w:p>
              </w:tc>
              <w:tc>
                <w:tcPr>
                  <w:tcW w:w="851" w:type="dxa"/>
                  <w:vMerge w:val="restart"/>
                  <w:vAlign w:val="center"/>
                </w:tcPr>
                <w:p w14:paraId="21750CA3">
                  <w:pPr>
                    <w:pStyle w:val="86"/>
                    <w:rPr>
                      <w:b/>
                      <w:bCs w:val="0"/>
                    </w:rPr>
                  </w:pPr>
                  <w:r>
                    <w:rPr>
                      <w:b/>
                      <w:bCs w:val="0"/>
                    </w:rPr>
                    <w:t>废水排放量/（万t/a）</w:t>
                  </w:r>
                </w:p>
              </w:tc>
              <w:tc>
                <w:tcPr>
                  <w:tcW w:w="709" w:type="dxa"/>
                  <w:vMerge w:val="restart"/>
                  <w:vAlign w:val="center"/>
                </w:tcPr>
                <w:p w14:paraId="227280AA">
                  <w:pPr>
                    <w:pStyle w:val="86"/>
                    <w:rPr>
                      <w:b/>
                      <w:bCs w:val="0"/>
                    </w:rPr>
                  </w:pPr>
                  <w:r>
                    <w:rPr>
                      <w:b/>
                      <w:bCs w:val="0"/>
                    </w:rPr>
                    <w:t>排放去向</w:t>
                  </w:r>
                </w:p>
              </w:tc>
              <w:tc>
                <w:tcPr>
                  <w:tcW w:w="708" w:type="dxa"/>
                  <w:vMerge w:val="restart"/>
                  <w:vAlign w:val="center"/>
                </w:tcPr>
                <w:p w14:paraId="1DBEBD1F">
                  <w:pPr>
                    <w:pStyle w:val="86"/>
                    <w:rPr>
                      <w:b/>
                      <w:bCs w:val="0"/>
                    </w:rPr>
                  </w:pPr>
                  <w:r>
                    <w:rPr>
                      <w:b/>
                      <w:bCs w:val="0"/>
                    </w:rPr>
                    <w:t>排放规律</w:t>
                  </w:r>
                </w:p>
              </w:tc>
              <w:tc>
                <w:tcPr>
                  <w:tcW w:w="851" w:type="dxa"/>
                  <w:vMerge w:val="restart"/>
                  <w:vAlign w:val="center"/>
                </w:tcPr>
                <w:p w14:paraId="396A0D0D">
                  <w:pPr>
                    <w:pStyle w:val="86"/>
                    <w:rPr>
                      <w:b/>
                      <w:bCs w:val="0"/>
                    </w:rPr>
                  </w:pPr>
                  <w:r>
                    <w:rPr>
                      <w:b/>
                      <w:bCs w:val="0"/>
                    </w:rPr>
                    <w:t>间歇排放时段</w:t>
                  </w:r>
                </w:p>
              </w:tc>
              <w:tc>
                <w:tcPr>
                  <w:tcW w:w="2898" w:type="dxa"/>
                  <w:gridSpan w:val="3"/>
                  <w:vAlign w:val="center"/>
                </w:tcPr>
                <w:p w14:paraId="34838DCE">
                  <w:pPr>
                    <w:pStyle w:val="86"/>
                    <w:rPr>
                      <w:b/>
                      <w:bCs w:val="0"/>
                    </w:rPr>
                  </w:pPr>
                  <w:r>
                    <w:rPr>
                      <w:b/>
                      <w:bCs w:val="0"/>
                    </w:rPr>
                    <w:t>受纳污水处理厂信息</w:t>
                  </w:r>
                </w:p>
              </w:tc>
            </w:tr>
            <w:tr w14:paraId="3F3449F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dxa"/>
                  <w:vMerge w:val="continue"/>
                  <w:vAlign w:val="center"/>
                </w:tcPr>
                <w:p w14:paraId="03653AEA">
                  <w:pPr>
                    <w:pStyle w:val="86"/>
                    <w:rPr>
                      <w:b/>
                      <w:bCs w:val="0"/>
                      <w:kern w:val="2"/>
                      <w:szCs w:val="21"/>
                    </w:rPr>
                  </w:pPr>
                </w:p>
              </w:tc>
              <w:tc>
                <w:tcPr>
                  <w:tcW w:w="725" w:type="dxa"/>
                  <w:vMerge w:val="continue"/>
                  <w:vAlign w:val="center"/>
                </w:tcPr>
                <w:p w14:paraId="5D91CDB7">
                  <w:pPr>
                    <w:pStyle w:val="86"/>
                    <w:rPr>
                      <w:b/>
                      <w:bCs w:val="0"/>
                      <w:kern w:val="2"/>
                      <w:szCs w:val="21"/>
                    </w:rPr>
                  </w:pPr>
                </w:p>
              </w:tc>
              <w:tc>
                <w:tcPr>
                  <w:tcW w:w="709" w:type="dxa"/>
                  <w:vAlign w:val="center"/>
                </w:tcPr>
                <w:p w14:paraId="3D8DD3DA">
                  <w:pPr>
                    <w:pStyle w:val="86"/>
                    <w:rPr>
                      <w:b/>
                      <w:bCs w:val="0"/>
                    </w:rPr>
                  </w:pPr>
                  <w:r>
                    <w:rPr>
                      <w:b/>
                      <w:bCs w:val="0"/>
                    </w:rPr>
                    <w:t>经度</w:t>
                  </w:r>
                </w:p>
              </w:tc>
              <w:tc>
                <w:tcPr>
                  <w:tcW w:w="708" w:type="dxa"/>
                  <w:vAlign w:val="center"/>
                </w:tcPr>
                <w:p w14:paraId="05051B08">
                  <w:pPr>
                    <w:pStyle w:val="86"/>
                    <w:rPr>
                      <w:b/>
                      <w:bCs w:val="0"/>
                    </w:rPr>
                  </w:pPr>
                  <w:r>
                    <w:rPr>
                      <w:b/>
                      <w:bCs w:val="0"/>
                    </w:rPr>
                    <w:t>纬度</w:t>
                  </w:r>
                </w:p>
              </w:tc>
              <w:tc>
                <w:tcPr>
                  <w:tcW w:w="851" w:type="dxa"/>
                  <w:vMerge w:val="continue"/>
                  <w:vAlign w:val="center"/>
                </w:tcPr>
                <w:p w14:paraId="2FEAA44D">
                  <w:pPr>
                    <w:pStyle w:val="86"/>
                    <w:rPr>
                      <w:b/>
                      <w:bCs w:val="0"/>
                      <w:kern w:val="2"/>
                      <w:szCs w:val="21"/>
                    </w:rPr>
                  </w:pPr>
                </w:p>
              </w:tc>
              <w:tc>
                <w:tcPr>
                  <w:tcW w:w="709" w:type="dxa"/>
                  <w:vMerge w:val="continue"/>
                  <w:vAlign w:val="center"/>
                </w:tcPr>
                <w:p w14:paraId="57ADDFC2">
                  <w:pPr>
                    <w:pStyle w:val="86"/>
                    <w:rPr>
                      <w:b/>
                      <w:bCs w:val="0"/>
                      <w:kern w:val="2"/>
                      <w:szCs w:val="21"/>
                    </w:rPr>
                  </w:pPr>
                </w:p>
              </w:tc>
              <w:tc>
                <w:tcPr>
                  <w:tcW w:w="708" w:type="dxa"/>
                  <w:vMerge w:val="continue"/>
                  <w:vAlign w:val="center"/>
                </w:tcPr>
                <w:p w14:paraId="446E01BF">
                  <w:pPr>
                    <w:pStyle w:val="86"/>
                    <w:rPr>
                      <w:b/>
                      <w:bCs w:val="0"/>
                      <w:kern w:val="2"/>
                      <w:szCs w:val="21"/>
                    </w:rPr>
                  </w:pPr>
                </w:p>
              </w:tc>
              <w:tc>
                <w:tcPr>
                  <w:tcW w:w="851" w:type="dxa"/>
                  <w:vMerge w:val="continue"/>
                  <w:vAlign w:val="center"/>
                </w:tcPr>
                <w:p w14:paraId="4B45E848">
                  <w:pPr>
                    <w:pStyle w:val="86"/>
                    <w:rPr>
                      <w:b/>
                      <w:bCs w:val="0"/>
                      <w:kern w:val="2"/>
                      <w:szCs w:val="21"/>
                    </w:rPr>
                  </w:pPr>
                </w:p>
              </w:tc>
              <w:tc>
                <w:tcPr>
                  <w:tcW w:w="863" w:type="dxa"/>
                  <w:vAlign w:val="center"/>
                </w:tcPr>
                <w:p w14:paraId="53ED0193">
                  <w:pPr>
                    <w:pStyle w:val="86"/>
                    <w:rPr>
                      <w:b/>
                      <w:bCs w:val="0"/>
                    </w:rPr>
                  </w:pPr>
                  <w:r>
                    <w:rPr>
                      <w:b/>
                      <w:bCs w:val="0"/>
                    </w:rPr>
                    <w:t>名称</w:t>
                  </w:r>
                </w:p>
              </w:tc>
              <w:tc>
                <w:tcPr>
                  <w:tcW w:w="816" w:type="dxa"/>
                  <w:vAlign w:val="center"/>
                </w:tcPr>
                <w:p w14:paraId="46624210">
                  <w:pPr>
                    <w:pStyle w:val="86"/>
                    <w:rPr>
                      <w:b/>
                      <w:bCs w:val="0"/>
                    </w:rPr>
                  </w:pPr>
                  <w:r>
                    <w:rPr>
                      <w:b/>
                      <w:bCs w:val="0"/>
                    </w:rPr>
                    <w:t>污染物种类</w:t>
                  </w:r>
                </w:p>
              </w:tc>
              <w:tc>
                <w:tcPr>
                  <w:tcW w:w="1219" w:type="dxa"/>
                  <w:vAlign w:val="center"/>
                </w:tcPr>
                <w:p w14:paraId="428D3B9A">
                  <w:pPr>
                    <w:pStyle w:val="86"/>
                    <w:rPr>
                      <w:b/>
                      <w:bCs w:val="0"/>
                    </w:rPr>
                  </w:pPr>
                  <w:r>
                    <w:rPr>
                      <w:b/>
                      <w:bCs w:val="0"/>
                    </w:rPr>
                    <w:t>国家或地方污染物排放标准浓度限值/（mg/L）</w:t>
                  </w:r>
                </w:p>
              </w:tc>
            </w:tr>
            <w:tr w14:paraId="6010700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dxa"/>
                  <w:vMerge w:val="restart"/>
                  <w:tcMar>
                    <w:top w:w="0" w:type="dxa"/>
                    <w:left w:w="0" w:type="dxa"/>
                    <w:bottom w:w="0" w:type="dxa"/>
                    <w:right w:w="0" w:type="dxa"/>
                  </w:tcMar>
                  <w:vAlign w:val="center"/>
                </w:tcPr>
                <w:p w14:paraId="5406DD27">
                  <w:pPr>
                    <w:pStyle w:val="86"/>
                  </w:pPr>
                  <w:r>
                    <w:t>1</w:t>
                  </w:r>
                </w:p>
              </w:tc>
              <w:tc>
                <w:tcPr>
                  <w:tcW w:w="725" w:type="dxa"/>
                  <w:vMerge w:val="restart"/>
                  <w:vAlign w:val="center"/>
                </w:tcPr>
                <w:p w14:paraId="265EF923">
                  <w:pPr>
                    <w:pStyle w:val="86"/>
                  </w:pPr>
                  <w:r>
                    <w:t>DW001</w:t>
                  </w:r>
                </w:p>
              </w:tc>
              <w:tc>
                <w:tcPr>
                  <w:tcW w:w="709" w:type="dxa"/>
                  <w:vMerge w:val="restart"/>
                  <w:vAlign w:val="center"/>
                </w:tcPr>
                <w:p w14:paraId="248870A2">
                  <w:pPr>
                    <w:pStyle w:val="86"/>
                  </w:pPr>
                  <w:r>
                    <w:t>113.652538</w:t>
                  </w:r>
                </w:p>
              </w:tc>
              <w:tc>
                <w:tcPr>
                  <w:tcW w:w="708" w:type="dxa"/>
                  <w:vMerge w:val="restart"/>
                  <w:vAlign w:val="center"/>
                </w:tcPr>
                <w:p w14:paraId="2155C42E">
                  <w:pPr>
                    <w:pStyle w:val="86"/>
                  </w:pPr>
                  <w:r>
                    <w:t>35.243555</w:t>
                  </w:r>
                </w:p>
              </w:tc>
              <w:tc>
                <w:tcPr>
                  <w:tcW w:w="851" w:type="dxa"/>
                  <w:vMerge w:val="restart"/>
                  <w:vAlign w:val="center"/>
                </w:tcPr>
                <w:p w14:paraId="7253DD91">
                  <w:pPr>
                    <w:pStyle w:val="86"/>
                  </w:pPr>
                  <w:r>
                    <w:t>0.0</w:t>
                  </w:r>
                  <w:r>
                    <w:rPr>
                      <w:rFonts w:hint="eastAsia"/>
                    </w:rPr>
                    <w:t>306</w:t>
                  </w:r>
                </w:p>
              </w:tc>
              <w:tc>
                <w:tcPr>
                  <w:tcW w:w="709" w:type="dxa"/>
                  <w:vMerge w:val="restart"/>
                  <w:vAlign w:val="center"/>
                </w:tcPr>
                <w:p w14:paraId="1668011C">
                  <w:pPr>
                    <w:pStyle w:val="86"/>
                  </w:pPr>
                  <w:r>
                    <w:rPr>
                      <w:rFonts w:hint="eastAsia" w:ascii="宋体" w:hAnsi="宋体"/>
                      <w:color w:val="000000"/>
                    </w:rPr>
                    <w:t>工业废水集中处理厂</w:t>
                  </w:r>
                </w:p>
              </w:tc>
              <w:tc>
                <w:tcPr>
                  <w:tcW w:w="708" w:type="dxa"/>
                  <w:vMerge w:val="restart"/>
                  <w:vAlign w:val="center"/>
                </w:tcPr>
                <w:p w14:paraId="2EFF4559">
                  <w:pPr>
                    <w:pStyle w:val="86"/>
                  </w:pPr>
                  <w:r>
                    <w:t>间断排放</w:t>
                  </w:r>
                </w:p>
              </w:tc>
              <w:tc>
                <w:tcPr>
                  <w:tcW w:w="851" w:type="dxa"/>
                  <w:vMerge w:val="restart"/>
                  <w:vAlign w:val="center"/>
                </w:tcPr>
                <w:p w14:paraId="12142753">
                  <w:pPr>
                    <w:pStyle w:val="86"/>
                  </w:pPr>
                  <w:r>
                    <w:t>0:00~</w:t>
                  </w:r>
                </w:p>
                <w:p w14:paraId="2A355346">
                  <w:pPr>
                    <w:pStyle w:val="86"/>
                  </w:pPr>
                  <w:r>
                    <w:rPr>
                      <w:rFonts w:hint="eastAsia"/>
                    </w:rPr>
                    <w:t>24</w:t>
                  </w:r>
                  <w:r>
                    <w:t>:00</w:t>
                  </w:r>
                </w:p>
              </w:tc>
              <w:tc>
                <w:tcPr>
                  <w:tcW w:w="863" w:type="dxa"/>
                  <w:vMerge w:val="restart"/>
                  <w:vAlign w:val="center"/>
                </w:tcPr>
                <w:p w14:paraId="5AC88024">
                  <w:pPr>
                    <w:pStyle w:val="86"/>
                  </w:pPr>
                  <w:r>
                    <w:rPr>
                      <w:rFonts w:hint="eastAsia"/>
                    </w:rPr>
                    <w:t>获嘉县香山家园污水处理厂</w:t>
                  </w:r>
                </w:p>
              </w:tc>
              <w:tc>
                <w:tcPr>
                  <w:tcW w:w="816" w:type="dxa"/>
                  <w:vAlign w:val="center"/>
                </w:tcPr>
                <w:p w14:paraId="58E8CB81">
                  <w:pPr>
                    <w:pStyle w:val="86"/>
                  </w:pPr>
                  <w:r>
                    <w:t>COD</w:t>
                  </w:r>
                </w:p>
              </w:tc>
              <w:tc>
                <w:tcPr>
                  <w:tcW w:w="1219" w:type="dxa"/>
                  <w:vAlign w:val="center"/>
                </w:tcPr>
                <w:p w14:paraId="75D3F950">
                  <w:pPr>
                    <w:pStyle w:val="86"/>
                  </w:pPr>
                  <w:r>
                    <w:t>40</w:t>
                  </w:r>
                </w:p>
              </w:tc>
            </w:tr>
            <w:tr w14:paraId="23CBF58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dxa"/>
                  <w:vMerge w:val="continue"/>
                  <w:tcMar>
                    <w:top w:w="0" w:type="dxa"/>
                    <w:left w:w="0" w:type="dxa"/>
                    <w:bottom w:w="0" w:type="dxa"/>
                    <w:right w:w="0" w:type="dxa"/>
                  </w:tcMar>
                  <w:vAlign w:val="center"/>
                </w:tcPr>
                <w:p w14:paraId="097D74FD">
                  <w:pPr>
                    <w:pStyle w:val="86"/>
                  </w:pPr>
                </w:p>
              </w:tc>
              <w:tc>
                <w:tcPr>
                  <w:tcW w:w="725" w:type="dxa"/>
                  <w:vMerge w:val="continue"/>
                  <w:vAlign w:val="center"/>
                </w:tcPr>
                <w:p w14:paraId="2CFDCD14">
                  <w:pPr>
                    <w:pStyle w:val="86"/>
                  </w:pPr>
                </w:p>
              </w:tc>
              <w:tc>
                <w:tcPr>
                  <w:tcW w:w="709" w:type="dxa"/>
                  <w:vMerge w:val="continue"/>
                  <w:vAlign w:val="center"/>
                </w:tcPr>
                <w:p w14:paraId="1FB13077">
                  <w:pPr>
                    <w:pStyle w:val="86"/>
                  </w:pPr>
                </w:p>
              </w:tc>
              <w:tc>
                <w:tcPr>
                  <w:tcW w:w="708" w:type="dxa"/>
                  <w:vMerge w:val="continue"/>
                  <w:vAlign w:val="center"/>
                </w:tcPr>
                <w:p w14:paraId="6B9D018C">
                  <w:pPr>
                    <w:pStyle w:val="86"/>
                  </w:pPr>
                </w:p>
              </w:tc>
              <w:tc>
                <w:tcPr>
                  <w:tcW w:w="851" w:type="dxa"/>
                  <w:vMerge w:val="continue"/>
                  <w:vAlign w:val="center"/>
                </w:tcPr>
                <w:p w14:paraId="01513A2B">
                  <w:pPr>
                    <w:pStyle w:val="86"/>
                  </w:pPr>
                </w:p>
              </w:tc>
              <w:tc>
                <w:tcPr>
                  <w:tcW w:w="709" w:type="dxa"/>
                  <w:vMerge w:val="continue"/>
                  <w:vAlign w:val="center"/>
                </w:tcPr>
                <w:p w14:paraId="24314316">
                  <w:pPr>
                    <w:pStyle w:val="86"/>
                  </w:pPr>
                </w:p>
              </w:tc>
              <w:tc>
                <w:tcPr>
                  <w:tcW w:w="708" w:type="dxa"/>
                  <w:vMerge w:val="continue"/>
                  <w:vAlign w:val="center"/>
                </w:tcPr>
                <w:p w14:paraId="10E77711">
                  <w:pPr>
                    <w:pStyle w:val="86"/>
                  </w:pPr>
                </w:p>
              </w:tc>
              <w:tc>
                <w:tcPr>
                  <w:tcW w:w="851" w:type="dxa"/>
                  <w:vMerge w:val="continue"/>
                  <w:vAlign w:val="center"/>
                </w:tcPr>
                <w:p w14:paraId="1ACF7E83">
                  <w:pPr>
                    <w:pStyle w:val="86"/>
                  </w:pPr>
                </w:p>
              </w:tc>
              <w:tc>
                <w:tcPr>
                  <w:tcW w:w="863" w:type="dxa"/>
                  <w:vMerge w:val="continue"/>
                  <w:vAlign w:val="center"/>
                </w:tcPr>
                <w:p w14:paraId="253533AE">
                  <w:pPr>
                    <w:pStyle w:val="86"/>
                  </w:pPr>
                </w:p>
              </w:tc>
              <w:tc>
                <w:tcPr>
                  <w:tcW w:w="816" w:type="dxa"/>
                  <w:vAlign w:val="center"/>
                </w:tcPr>
                <w:p w14:paraId="050C725E">
                  <w:pPr>
                    <w:pStyle w:val="86"/>
                  </w:pPr>
                  <w:r>
                    <w:rPr>
                      <w:rFonts w:hint="eastAsia"/>
                    </w:rPr>
                    <w:t>S</w:t>
                  </w:r>
                  <w:r>
                    <w:t>S</w:t>
                  </w:r>
                </w:p>
              </w:tc>
              <w:tc>
                <w:tcPr>
                  <w:tcW w:w="1219" w:type="dxa"/>
                  <w:vAlign w:val="center"/>
                </w:tcPr>
                <w:p w14:paraId="498C3B4E">
                  <w:pPr>
                    <w:pStyle w:val="86"/>
                  </w:pPr>
                  <w:r>
                    <w:rPr>
                      <w:rFonts w:hint="eastAsia"/>
                    </w:rPr>
                    <w:t>1</w:t>
                  </w:r>
                  <w:r>
                    <w:t>0</w:t>
                  </w:r>
                </w:p>
              </w:tc>
            </w:tr>
            <w:tr w14:paraId="7FC5ED5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dxa"/>
                  <w:vMerge w:val="continue"/>
                  <w:vAlign w:val="center"/>
                </w:tcPr>
                <w:p w14:paraId="71A63054">
                  <w:pPr>
                    <w:pStyle w:val="86"/>
                    <w:rPr>
                      <w:kern w:val="2"/>
                      <w:szCs w:val="21"/>
                    </w:rPr>
                  </w:pPr>
                </w:p>
              </w:tc>
              <w:tc>
                <w:tcPr>
                  <w:tcW w:w="725" w:type="dxa"/>
                  <w:vMerge w:val="continue"/>
                  <w:vAlign w:val="center"/>
                </w:tcPr>
                <w:p w14:paraId="0F98EF6B">
                  <w:pPr>
                    <w:pStyle w:val="86"/>
                    <w:rPr>
                      <w:kern w:val="2"/>
                      <w:szCs w:val="21"/>
                    </w:rPr>
                  </w:pPr>
                </w:p>
              </w:tc>
              <w:tc>
                <w:tcPr>
                  <w:tcW w:w="709" w:type="dxa"/>
                  <w:vMerge w:val="continue"/>
                  <w:vAlign w:val="center"/>
                </w:tcPr>
                <w:p w14:paraId="79259ABC">
                  <w:pPr>
                    <w:pStyle w:val="86"/>
                    <w:rPr>
                      <w:kern w:val="2"/>
                      <w:szCs w:val="21"/>
                    </w:rPr>
                  </w:pPr>
                </w:p>
              </w:tc>
              <w:tc>
                <w:tcPr>
                  <w:tcW w:w="708" w:type="dxa"/>
                  <w:vMerge w:val="continue"/>
                  <w:vAlign w:val="center"/>
                </w:tcPr>
                <w:p w14:paraId="32AE0759">
                  <w:pPr>
                    <w:pStyle w:val="86"/>
                    <w:rPr>
                      <w:kern w:val="2"/>
                      <w:szCs w:val="21"/>
                    </w:rPr>
                  </w:pPr>
                </w:p>
              </w:tc>
              <w:tc>
                <w:tcPr>
                  <w:tcW w:w="851" w:type="dxa"/>
                  <w:vMerge w:val="continue"/>
                  <w:vAlign w:val="center"/>
                </w:tcPr>
                <w:p w14:paraId="595CAE48">
                  <w:pPr>
                    <w:pStyle w:val="86"/>
                    <w:rPr>
                      <w:kern w:val="2"/>
                      <w:szCs w:val="21"/>
                    </w:rPr>
                  </w:pPr>
                </w:p>
              </w:tc>
              <w:tc>
                <w:tcPr>
                  <w:tcW w:w="709" w:type="dxa"/>
                  <w:vMerge w:val="continue"/>
                  <w:vAlign w:val="center"/>
                </w:tcPr>
                <w:p w14:paraId="5396EEE6">
                  <w:pPr>
                    <w:pStyle w:val="86"/>
                    <w:rPr>
                      <w:kern w:val="2"/>
                      <w:szCs w:val="21"/>
                    </w:rPr>
                  </w:pPr>
                </w:p>
              </w:tc>
              <w:tc>
                <w:tcPr>
                  <w:tcW w:w="708" w:type="dxa"/>
                  <w:vMerge w:val="continue"/>
                  <w:vAlign w:val="center"/>
                </w:tcPr>
                <w:p w14:paraId="6057D93A">
                  <w:pPr>
                    <w:pStyle w:val="86"/>
                    <w:rPr>
                      <w:kern w:val="2"/>
                      <w:szCs w:val="21"/>
                    </w:rPr>
                  </w:pPr>
                </w:p>
              </w:tc>
              <w:tc>
                <w:tcPr>
                  <w:tcW w:w="851" w:type="dxa"/>
                  <w:vMerge w:val="continue"/>
                  <w:vAlign w:val="center"/>
                </w:tcPr>
                <w:p w14:paraId="25356096">
                  <w:pPr>
                    <w:pStyle w:val="86"/>
                    <w:rPr>
                      <w:kern w:val="2"/>
                      <w:szCs w:val="21"/>
                    </w:rPr>
                  </w:pPr>
                </w:p>
              </w:tc>
              <w:tc>
                <w:tcPr>
                  <w:tcW w:w="863" w:type="dxa"/>
                  <w:vMerge w:val="continue"/>
                  <w:vAlign w:val="center"/>
                </w:tcPr>
                <w:p w14:paraId="0BC71E28">
                  <w:pPr>
                    <w:pStyle w:val="86"/>
                    <w:rPr>
                      <w:kern w:val="2"/>
                      <w:szCs w:val="21"/>
                    </w:rPr>
                  </w:pPr>
                </w:p>
              </w:tc>
              <w:tc>
                <w:tcPr>
                  <w:tcW w:w="816" w:type="dxa"/>
                  <w:vAlign w:val="center"/>
                </w:tcPr>
                <w:p w14:paraId="70DC98D4">
                  <w:pPr>
                    <w:pStyle w:val="86"/>
                  </w:pPr>
                  <w:r>
                    <w:t>NH</w:t>
                  </w:r>
                  <w:r>
                    <w:rPr>
                      <w:vertAlign w:val="subscript"/>
                    </w:rPr>
                    <w:t>3</w:t>
                  </w:r>
                  <w:r>
                    <w:t>-N</w:t>
                  </w:r>
                </w:p>
              </w:tc>
              <w:tc>
                <w:tcPr>
                  <w:tcW w:w="1219" w:type="dxa"/>
                  <w:vAlign w:val="center"/>
                </w:tcPr>
                <w:p w14:paraId="59DFF4F9">
                  <w:pPr>
                    <w:pStyle w:val="86"/>
                  </w:pPr>
                  <w:r>
                    <w:t>2</w:t>
                  </w:r>
                </w:p>
              </w:tc>
            </w:tr>
            <w:tr w14:paraId="2D59A98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dxa"/>
                  <w:vMerge w:val="continue"/>
                  <w:vAlign w:val="center"/>
                </w:tcPr>
                <w:p w14:paraId="672E15BD">
                  <w:pPr>
                    <w:pStyle w:val="86"/>
                    <w:rPr>
                      <w:kern w:val="2"/>
                      <w:szCs w:val="21"/>
                    </w:rPr>
                  </w:pPr>
                </w:p>
              </w:tc>
              <w:tc>
                <w:tcPr>
                  <w:tcW w:w="725" w:type="dxa"/>
                  <w:vMerge w:val="continue"/>
                  <w:vAlign w:val="center"/>
                </w:tcPr>
                <w:p w14:paraId="6E04E147">
                  <w:pPr>
                    <w:pStyle w:val="86"/>
                    <w:rPr>
                      <w:kern w:val="2"/>
                      <w:szCs w:val="21"/>
                    </w:rPr>
                  </w:pPr>
                </w:p>
              </w:tc>
              <w:tc>
                <w:tcPr>
                  <w:tcW w:w="709" w:type="dxa"/>
                  <w:vMerge w:val="continue"/>
                  <w:vAlign w:val="center"/>
                </w:tcPr>
                <w:p w14:paraId="4C435708">
                  <w:pPr>
                    <w:pStyle w:val="86"/>
                    <w:rPr>
                      <w:kern w:val="2"/>
                      <w:szCs w:val="21"/>
                    </w:rPr>
                  </w:pPr>
                </w:p>
              </w:tc>
              <w:tc>
                <w:tcPr>
                  <w:tcW w:w="708" w:type="dxa"/>
                  <w:vMerge w:val="continue"/>
                  <w:vAlign w:val="center"/>
                </w:tcPr>
                <w:p w14:paraId="4E6E99A8">
                  <w:pPr>
                    <w:pStyle w:val="86"/>
                    <w:rPr>
                      <w:kern w:val="2"/>
                      <w:szCs w:val="21"/>
                    </w:rPr>
                  </w:pPr>
                </w:p>
              </w:tc>
              <w:tc>
                <w:tcPr>
                  <w:tcW w:w="851" w:type="dxa"/>
                  <w:vMerge w:val="continue"/>
                  <w:vAlign w:val="center"/>
                </w:tcPr>
                <w:p w14:paraId="0409B460">
                  <w:pPr>
                    <w:pStyle w:val="86"/>
                    <w:rPr>
                      <w:kern w:val="2"/>
                      <w:szCs w:val="21"/>
                    </w:rPr>
                  </w:pPr>
                </w:p>
              </w:tc>
              <w:tc>
                <w:tcPr>
                  <w:tcW w:w="709" w:type="dxa"/>
                  <w:vMerge w:val="continue"/>
                  <w:vAlign w:val="center"/>
                </w:tcPr>
                <w:p w14:paraId="03598166">
                  <w:pPr>
                    <w:pStyle w:val="86"/>
                    <w:rPr>
                      <w:kern w:val="2"/>
                      <w:szCs w:val="21"/>
                    </w:rPr>
                  </w:pPr>
                </w:p>
              </w:tc>
              <w:tc>
                <w:tcPr>
                  <w:tcW w:w="708" w:type="dxa"/>
                  <w:vMerge w:val="continue"/>
                  <w:vAlign w:val="center"/>
                </w:tcPr>
                <w:p w14:paraId="1BC5D437">
                  <w:pPr>
                    <w:pStyle w:val="86"/>
                    <w:rPr>
                      <w:kern w:val="2"/>
                      <w:szCs w:val="21"/>
                    </w:rPr>
                  </w:pPr>
                </w:p>
              </w:tc>
              <w:tc>
                <w:tcPr>
                  <w:tcW w:w="851" w:type="dxa"/>
                  <w:vMerge w:val="continue"/>
                  <w:vAlign w:val="center"/>
                </w:tcPr>
                <w:p w14:paraId="0F6AF143">
                  <w:pPr>
                    <w:pStyle w:val="86"/>
                    <w:rPr>
                      <w:kern w:val="2"/>
                      <w:szCs w:val="21"/>
                    </w:rPr>
                  </w:pPr>
                </w:p>
              </w:tc>
              <w:tc>
                <w:tcPr>
                  <w:tcW w:w="863" w:type="dxa"/>
                  <w:vMerge w:val="continue"/>
                  <w:vAlign w:val="center"/>
                </w:tcPr>
                <w:p w14:paraId="14B6626C">
                  <w:pPr>
                    <w:pStyle w:val="86"/>
                    <w:rPr>
                      <w:kern w:val="2"/>
                      <w:szCs w:val="21"/>
                    </w:rPr>
                  </w:pPr>
                </w:p>
              </w:tc>
              <w:tc>
                <w:tcPr>
                  <w:tcW w:w="816" w:type="dxa"/>
                  <w:vAlign w:val="center"/>
                </w:tcPr>
                <w:p w14:paraId="33EA7CDC">
                  <w:pPr>
                    <w:pStyle w:val="86"/>
                  </w:pPr>
                  <w:r>
                    <w:t>TP</w:t>
                  </w:r>
                </w:p>
              </w:tc>
              <w:tc>
                <w:tcPr>
                  <w:tcW w:w="1219" w:type="dxa"/>
                  <w:vAlign w:val="center"/>
                </w:tcPr>
                <w:p w14:paraId="45C4E388">
                  <w:pPr>
                    <w:pStyle w:val="86"/>
                  </w:pPr>
                  <w:r>
                    <w:t>0.4</w:t>
                  </w:r>
                </w:p>
              </w:tc>
            </w:tr>
            <w:tr w14:paraId="1AEA894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dxa"/>
                  <w:vMerge w:val="continue"/>
                  <w:vAlign w:val="center"/>
                </w:tcPr>
                <w:p w14:paraId="63CA7B8F">
                  <w:pPr>
                    <w:pStyle w:val="86"/>
                    <w:rPr>
                      <w:kern w:val="2"/>
                      <w:szCs w:val="21"/>
                    </w:rPr>
                  </w:pPr>
                </w:p>
              </w:tc>
              <w:tc>
                <w:tcPr>
                  <w:tcW w:w="725" w:type="dxa"/>
                  <w:vMerge w:val="continue"/>
                  <w:vAlign w:val="center"/>
                </w:tcPr>
                <w:p w14:paraId="69F30805">
                  <w:pPr>
                    <w:pStyle w:val="86"/>
                    <w:rPr>
                      <w:kern w:val="2"/>
                      <w:szCs w:val="21"/>
                    </w:rPr>
                  </w:pPr>
                </w:p>
              </w:tc>
              <w:tc>
                <w:tcPr>
                  <w:tcW w:w="709" w:type="dxa"/>
                  <w:vMerge w:val="continue"/>
                  <w:vAlign w:val="center"/>
                </w:tcPr>
                <w:p w14:paraId="2B879750">
                  <w:pPr>
                    <w:pStyle w:val="86"/>
                    <w:rPr>
                      <w:kern w:val="2"/>
                      <w:szCs w:val="21"/>
                    </w:rPr>
                  </w:pPr>
                </w:p>
              </w:tc>
              <w:tc>
                <w:tcPr>
                  <w:tcW w:w="708" w:type="dxa"/>
                  <w:vMerge w:val="continue"/>
                  <w:vAlign w:val="center"/>
                </w:tcPr>
                <w:p w14:paraId="0BC49655">
                  <w:pPr>
                    <w:pStyle w:val="86"/>
                    <w:rPr>
                      <w:kern w:val="2"/>
                      <w:szCs w:val="21"/>
                    </w:rPr>
                  </w:pPr>
                </w:p>
              </w:tc>
              <w:tc>
                <w:tcPr>
                  <w:tcW w:w="851" w:type="dxa"/>
                  <w:vMerge w:val="continue"/>
                  <w:vAlign w:val="center"/>
                </w:tcPr>
                <w:p w14:paraId="0FC7EC2F">
                  <w:pPr>
                    <w:pStyle w:val="86"/>
                    <w:rPr>
                      <w:kern w:val="2"/>
                      <w:szCs w:val="21"/>
                    </w:rPr>
                  </w:pPr>
                </w:p>
              </w:tc>
              <w:tc>
                <w:tcPr>
                  <w:tcW w:w="709" w:type="dxa"/>
                  <w:vMerge w:val="continue"/>
                  <w:vAlign w:val="center"/>
                </w:tcPr>
                <w:p w14:paraId="03BC8E7C">
                  <w:pPr>
                    <w:pStyle w:val="86"/>
                    <w:rPr>
                      <w:kern w:val="2"/>
                      <w:szCs w:val="21"/>
                    </w:rPr>
                  </w:pPr>
                </w:p>
              </w:tc>
              <w:tc>
                <w:tcPr>
                  <w:tcW w:w="708" w:type="dxa"/>
                  <w:vMerge w:val="continue"/>
                  <w:vAlign w:val="center"/>
                </w:tcPr>
                <w:p w14:paraId="73B2E27E">
                  <w:pPr>
                    <w:pStyle w:val="86"/>
                    <w:rPr>
                      <w:kern w:val="2"/>
                      <w:szCs w:val="21"/>
                    </w:rPr>
                  </w:pPr>
                </w:p>
              </w:tc>
              <w:tc>
                <w:tcPr>
                  <w:tcW w:w="851" w:type="dxa"/>
                  <w:vMerge w:val="continue"/>
                  <w:vAlign w:val="center"/>
                </w:tcPr>
                <w:p w14:paraId="30A7E580">
                  <w:pPr>
                    <w:pStyle w:val="86"/>
                    <w:rPr>
                      <w:kern w:val="2"/>
                      <w:szCs w:val="21"/>
                    </w:rPr>
                  </w:pPr>
                </w:p>
              </w:tc>
              <w:tc>
                <w:tcPr>
                  <w:tcW w:w="863" w:type="dxa"/>
                  <w:vMerge w:val="continue"/>
                  <w:vAlign w:val="center"/>
                </w:tcPr>
                <w:p w14:paraId="341C1E5E">
                  <w:pPr>
                    <w:pStyle w:val="86"/>
                    <w:rPr>
                      <w:kern w:val="2"/>
                      <w:szCs w:val="21"/>
                    </w:rPr>
                  </w:pPr>
                </w:p>
              </w:tc>
              <w:tc>
                <w:tcPr>
                  <w:tcW w:w="816" w:type="dxa"/>
                  <w:vAlign w:val="center"/>
                </w:tcPr>
                <w:p w14:paraId="35C5BED6">
                  <w:pPr>
                    <w:pStyle w:val="86"/>
                  </w:pPr>
                  <w:r>
                    <w:t>TN</w:t>
                  </w:r>
                </w:p>
              </w:tc>
              <w:tc>
                <w:tcPr>
                  <w:tcW w:w="1219" w:type="dxa"/>
                  <w:vAlign w:val="center"/>
                </w:tcPr>
                <w:p w14:paraId="7E36E48A">
                  <w:pPr>
                    <w:pStyle w:val="86"/>
                  </w:pPr>
                  <w:r>
                    <w:t>15</w:t>
                  </w:r>
                </w:p>
              </w:tc>
            </w:tr>
          </w:tbl>
          <w:p w14:paraId="32A242E3">
            <w:pPr>
              <w:pStyle w:val="28"/>
              <w:ind w:firstLine="480"/>
            </w:pPr>
            <w:r>
              <w:rPr>
                <w:rFonts w:hint="eastAsia"/>
              </w:rPr>
              <w:t>③</w:t>
            </w:r>
            <w:r>
              <w:t>废水污染物排放执行标准</w:t>
            </w:r>
          </w:p>
          <w:p w14:paraId="15ECD83B">
            <w:pPr>
              <w:pStyle w:val="67"/>
              <w:ind w:firstLine="480"/>
            </w:pPr>
            <w:r>
              <w:t xml:space="preserve">              </w:t>
            </w:r>
            <w:r>
              <w:rPr>
                <w:rFonts w:ascii="黑体" w:hAnsi="黑体"/>
              </w:rPr>
              <w:t>废水污染物排放执行标准表</w:t>
            </w:r>
          </w:p>
          <w:tbl>
            <w:tblPr>
              <w:tblStyle w:val="20"/>
              <w:tblW w:w="8514"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7"/>
              <w:gridCol w:w="1172"/>
              <w:gridCol w:w="1119"/>
              <w:gridCol w:w="2340"/>
              <w:gridCol w:w="3216"/>
            </w:tblGrid>
            <w:tr w14:paraId="23173A5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667" w:type="dxa"/>
                  <w:vMerge w:val="restart"/>
                  <w:vAlign w:val="center"/>
                </w:tcPr>
                <w:p w14:paraId="3A301A23">
                  <w:pPr>
                    <w:widowControl/>
                    <w:jc w:val="center"/>
                    <w:rPr>
                      <w:b/>
                      <w:bCs/>
                      <w:color w:val="000000"/>
                      <w:szCs w:val="21"/>
                    </w:rPr>
                  </w:pPr>
                  <w:r>
                    <w:rPr>
                      <w:rFonts w:ascii="宋体" w:hAnsi="宋体"/>
                      <w:b/>
                      <w:bCs/>
                      <w:color w:val="000000"/>
                    </w:rPr>
                    <w:t>序号</w:t>
                  </w:r>
                </w:p>
              </w:tc>
              <w:tc>
                <w:tcPr>
                  <w:tcW w:w="1172" w:type="dxa"/>
                  <w:vMerge w:val="restart"/>
                  <w:vAlign w:val="center"/>
                </w:tcPr>
                <w:p w14:paraId="62678E39">
                  <w:pPr>
                    <w:widowControl/>
                    <w:jc w:val="center"/>
                    <w:rPr>
                      <w:b/>
                      <w:bCs/>
                      <w:color w:val="000000"/>
                    </w:rPr>
                  </w:pPr>
                  <w:r>
                    <w:rPr>
                      <w:rFonts w:ascii="宋体" w:hAnsi="宋体"/>
                      <w:b/>
                      <w:bCs/>
                      <w:color w:val="000000"/>
                    </w:rPr>
                    <w:t>排放口编号</w:t>
                  </w:r>
                </w:p>
              </w:tc>
              <w:tc>
                <w:tcPr>
                  <w:tcW w:w="1119" w:type="dxa"/>
                  <w:vMerge w:val="restart"/>
                  <w:vAlign w:val="center"/>
                </w:tcPr>
                <w:p w14:paraId="39C814EC">
                  <w:pPr>
                    <w:widowControl/>
                    <w:jc w:val="center"/>
                    <w:rPr>
                      <w:b/>
                      <w:bCs/>
                      <w:color w:val="000000"/>
                    </w:rPr>
                  </w:pPr>
                  <w:r>
                    <w:rPr>
                      <w:rFonts w:ascii="宋体" w:hAnsi="宋体"/>
                      <w:b/>
                      <w:bCs/>
                      <w:color w:val="000000"/>
                    </w:rPr>
                    <w:t>污染物种类</w:t>
                  </w:r>
                </w:p>
              </w:tc>
              <w:tc>
                <w:tcPr>
                  <w:tcW w:w="5556" w:type="dxa"/>
                  <w:gridSpan w:val="2"/>
                  <w:vAlign w:val="center"/>
                </w:tcPr>
                <w:p w14:paraId="4BD77102">
                  <w:pPr>
                    <w:widowControl/>
                    <w:jc w:val="center"/>
                    <w:rPr>
                      <w:b/>
                      <w:bCs/>
                      <w:color w:val="000000"/>
                    </w:rPr>
                  </w:pPr>
                  <w:r>
                    <w:rPr>
                      <w:rFonts w:ascii="宋体" w:hAnsi="宋体"/>
                      <w:b/>
                      <w:bCs/>
                      <w:color w:val="000000"/>
                    </w:rPr>
                    <w:t>国家或地方污染物排放标准及其他按规定商定的排放协议</w:t>
                  </w:r>
                </w:p>
              </w:tc>
            </w:tr>
            <w:tr w14:paraId="0E9D6F4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667" w:type="dxa"/>
                  <w:vMerge w:val="continue"/>
                  <w:vAlign w:val="center"/>
                </w:tcPr>
                <w:p w14:paraId="4D24C7B5">
                  <w:pPr>
                    <w:widowControl/>
                    <w:jc w:val="left"/>
                    <w:rPr>
                      <w:b/>
                      <w:bCs/>
                      <w:color w:val="000000"/>
                      <w:szCs w:val="21"/>
                    </w:rPr>
                  </w:pPr>
                </w:p>
              </w:tc>
              <w:tc>
                <w:tcPr>
                  <w:tcW w:w="1172" w:type="dxa"/>
                  <w:vMerge w:val="continue"/>
                  <w:vAlign w:val="center"/>
                </w:tcPr>
                <w:p w14:paraId="170E50E2">
                  <w:pPr>
                    <w:widowControl/>
                    <w:jc w:val="left"/>
                    <w:rPr>
                      <w:b/>
                      <w:bCs/>
                      <w:color w:val="000000"/>
                      <w:szCs w:val="21"/>
                    </w:rPr>
                  </w:pPr>
                </w:p>
              </w:tc>
              <w:tc>
                <w:tcPr>
                  <w:tcW w:w="1119" w:type="dxa"/>
                  <w:vMerge w:val="continue"/>
                  <w:vAlign w:val="center"/>
                </w:tcPr>
                <w:p w14:paraId="1B41B7AF">
                  <w:pPr>
                    <w:widowControl/>
                    <w:jc w:val="left"/>
                    <w:rPr>
                      <w:b/>
                      <w:bCs/>
                      <w:color w:val="000000"/>
                      <w:szCs w:val="21"/>
                    </w:rPr>
                  </w:pPr>
                </w:p>
              </w:tc>
              <w:tc>
                <w:tcPr>
                  <w:tcW w:w="2340" w:type="dxa"/>
                  <w:vAlign w:val="center"/>
                </w:tcPr>
                <w:p w14:paraId="43307649">
                  <w:pPr>
                    <w:widowControl/>
                    <w:jc w:val="center"/>
                    <w:rPr>
                      <w:b/>
                      <w:bCs/>
                      <w:color w:val="000000"/>
                    </w:rPr>
                  </w:pPr>
                  <w:r>
                    <w:rPr>
                      <w:rFonts w:ascii="宋体" w:hAnsi="宋体"/>
                      <w:b/>
                      <w:bCs/>
                      <w:color w:val="000000"/>
                    </w:rPr>
                    <w:t>名称</w:t>
                  </w:r>
                </w:p>
              </w:tc>
              <w:tc>
                <w:tcPr>
                  <w:tcW w:w="3215" w:type="dxa"/>
                  <w:vAlign w:val="center"/>
                </w:tcPr>
                <w:p w14:paraId="3536B3D3">
                  <w:pPr>
                    <w:widowControl/>
                    <w:jc w:val="center"/>
                    <w:rPr>
                      <w:b/>
                      <w:bCs/>
                      <w:color w:val="000000"/>
                    </w:rPr>
                  </w:pPr>
                  <w:r>
                    <w:rPr>
                      <w:rFonts w:ascii="宋体" w:hAnsi="宋体"/>
                      <w:b/>
                      <w:bCs/>
                      <w:color w:val="000000"/>
                    </w:rPr>
                    <w:t>浓度限值</w:t>
                  </w:r>
                  <w:r>
                    <w:rPr>
                      <w:b/>
                      <w:bCs/>
                      <w:color w:val="000000"/>
                    </w:rPr>
                    <w:t>/</w:t>
                  </w:r>
                  <w:r>
                    <w:rPr>
                      <w:rFonts w:ascii="宋体" w:hAnsi="宋体"/>
                      <w:b/>
                      <w:bCs/>
                      <w:color w:val="000000"/>
                    </w:rPr>
                    <w:t>（</w:t>
                  </w:r>
                  <w:r>
                    <w:rPr>
                      <w:b/>
                      <w:bCs/>
                      <w:color w:val="000000"/>
                    </w:rPr>
                    <w:t>mg/L</w:t>
                  </w:r>
                  <w:r>
                    <w:rPr>
                      <w:rFonts w:ascii="宋体" w:hAnsi="宋体"/>
                      <w:b/>
                      <w:bCs/>
                      <w:color w:val="000000"/>
                    </w:rPr>
                    <w:t>）</w:t>
                  </w:r>
                </w:p>
              </w:tc>
            </w:tr>
            <w:tr w14:paraId="5BBEBA3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667" w:type="dxa"/>
                  <w:vAlign w:val="center"/>
                </w:tcPr>
                <w:p w14:paraId="48C3F261">
                  <w:pPr>
                    <w:snapToGrid w:val="0"/>
                    <w:jc w:val="center"/>
                    <w:rPr>
                      <w:color w:val="000000"/>
                    </w:rPr>
                  </w:pPr>
                  <w:r>
                    <w:rPr>
                      <w:color w:val="000000"/>
                    </w:rPr>
                    <w:t>1</w:t>
                  </w:r>
                </w:p>
              </w:tc>
              <w:tc>
                <w:tcPr>
                  <w:tcW w:w="1172" w:type="dxa"/>
                  <w:vMerge w:val="restart"/>
                  <w:vAlign w:val="center"/>
                </w:tcPr>
                <w:p w14:paraId="2036546C">
                  <w:pPr>
                    <w:snapToGrid w:val="0"/>
                    <w:jc w:val="center"/>
                    <w:rPr>
                      <w:color w:val="000000"/>
                    </w:rPr>
                  </w:pPr>
                  <w:r>
                    <w:rPr>
                      <w:color w:val="000000"/>
                    </w:rPr>
                    <w:t>DW001</w:t>
                  </w:r>
                </w:p>
              </w:tc>
              <w:tc>
                <w:tcPr>
                  <w:tcW w:w="1119" w:type="dxa"/>
                  <w:vAlign w:val="center"/>
                </w:tcPr>
                <w:p w14:paraId="5F517D43">
                  <w:pPr>
                    <w:jc w:val="center"/>
                    <w:rPr>
                      <w:color w:val="000000"/>
                    </w:rPr>
                  </w:pPr>
                  <w:r>
                    <w:rPr>
                      <w:color w:val="000000"/>
                    </w:rPr>
                    <w:t>COD</w:t>
                  </w:r>
                </w:p>
              </w:tc>
              <w:tc>
                <w:tcPr>
                  <w:tcW w:w="2340" w:type="dxa"/>
                  <w:vMerge w:val="restart"/>
                  <w:vAlign w:val="center"/>
                </w:tcPr>
                <w:p w14:paraId="543F5EDC">
                  <w:pPr>
                    <w:snapToGrid w:val="0"/>
                    <w:jc w:val="center"/>
                    <w:rPr>
                      <w:color w:val="000000"/>
                    </w:rPr>
                  </w:pPr>
                  <w:r>
                    <w:rPr>
                      <w:rFonts w:hint="eastAsia" w:ascii="宋体" w:hAnsi="宋体"/>
                      <w:color w:val="000000"/>
                    </w:rPr>
                    <w:t>获嘉县香山家园污水处理厂</w:t>
                  </w:r>
                  <w:r>
                    <w:rPr>
                      <w:rFonts w:ascii="宋体" w:hAnsi="宋体"/>
                      <w:color w:val="000000"/>
                    </w:rPr>
                    <w:t>收水标准</w:t>
                  </w:r>
                </w:p>
              </w:tc>
              <w:tc>
                <w:tcPr>
                  <w:tcW w:w="3215" w:type="dxa"/>
                  <w:vAlign w:val="center"/>
                </w:tcPr>
                <w:p w14:paraId="1E2710DD">
                  <w:pPr>
                    <w:snapToGrid w:val="0"/>
                    <w:jc w:val="center"/>
                  </w:pPr>
                  <w:r>
                    <w:t>420</w:t>
                  </w:r>
                </w:p>
              </w:tc>
            </w:tr>
            <w:tr w14:paraId="2F9AF6A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667" w:type="dxa"/>
                  <w:vAlign w:val="center"/>
                </w:tcPr>
                <w:p w14:paraId="3EF99D5A">
                  <w:pPr>
                    <w:snapToGrid w:val="0"/>
                    <w:jc w:val="center"/>
                    <w:rPr>
                      <w:color w:val="000000"/>
                    </w:rPr>
                  </w:pPr>
                  <w:r>
                    <w:rPr>
                      <w:color w:val="000000"/>
                    </w:rPr>
                    <w:t>2</w:t>
                  </w:r>
                </w:p>
              </w:tc>
              <w:tc>
                <w:tcPr>
                  <w:tcW w:w="1172" w:type="dxa"/>
                  <w:vMerge w:val="continue"/>
                  <w:vAlign w:val="center"/>
                </w:tcPr>
                <w:p w14:paraId="09165E57">
                  <w:pPr>
                    <w:widowControl/>
                    <w:jc w:val="left"/>
                    <w:rPr>
                      <w:color w:val="000000"/>
                      <w:szCs w:val="21"/>
                    </w:rPr>
                  </w:pPr>
                </w:p>
              </w:tc>
              <w:tc>
                <w:tcPr>
                  <w:tcW w:w="1119" w:type="dxa"/>
                  <w:vAlign w:val="center"/>
                </w:tcPr>
                <w:p w14:paraId="3A2DDE83">
                  <w:pPr>
                    <w:jc w:val="center"/>
                    <w:rPr>
                      <w:color w:val="000000"/>
                    </w:rPr>
                  </w:pPr>
                  <w:r>
                    <w:rPr>
                      <w:color w:val="000000"/>
                    </w:rPr>
                    <w:t>SS</w:t>
                  </w:r>
                </w:p>
              </w:tc>
              <w:tc>
                <w:tcPr>
                  <w:tcW w:w="2340" w:type="dxa"/>
                  <w:vMerge w:val="continue"/>
                  <w:vAlign w:val="center"/>
                </w:tcPr>
                <w:p w14:paraId="0CBE1631">
                  <w:pPr>
                    <w:widowControl/>
                    <w:jc w:val="left"/>
                    <w:rPr>
                      <w:color w:val="000000"/>
                      <w:szCs w:val="21"/>
                    </w:rPr>
                  </w:pPr>
                </w:p>
              </w:tc>
              <w:tc>
                <w:tcPr>
                  <w:tcW w:w="3215" w:type="dxa"/>
                  <w:vAlign w:val="center"/>
                </w:tcPr>
                <w:p w14:paraId="73661E07">
                  <w:pPr>
                    <w:snapToGrid w:val="0"/>
                    <w:jc w:val="center"/>
                  </w:pPr>
                  <w:r>
                    <w:t>200</w:t>
                  </w:r>
                </w:p>
              </w:tc>
            </w:tr>
            <w:tr w14:paraId="510837D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PrEx>
              <w:trPr>
                <w:trHeight w:val="360" w:hRule="atLeast"/>
                <w:jc w:val="center"/>
              </w:trPr>
              <w:tc>
                <w:tcPr>
                  <w:tcW w:w="667" w:type="dxa"/>
                  <w:vAlign w:val="center"/>
                </w:tcPr>
                <w:p w14:paraId="66F4D468">
                  <w:pPr>
                    <w:snapToGrid w:val="0"/>
                    <w:jc w:val="center"/>
                    <w:rPr>
                      <w:color w:val="000000"/>
                    </w:rPr>
                  </w:pPr>
                  <w:r>
                    <w:rPr>
                      <w:rFonts w:hint="eastAsia"/>
                      <w:color w:val="000000"/>
                    </w:rPr>
                    <w:t>3</w:t>
                  </w:r>
                </w:p>
              </w:tc>
              <w:tc>
                <w:tcPr>
                  <w:tcW w:w="1172" w:type="dxa"/>
                  <w:vMerge w:val="continue"/>
                  <w:vAlign w:val="center"/>
                </w:tcPr>
                <w:p w14:paraId="59858A06">
                  <w:pPr>
                    <w:widowControl/>
                    <w:jc w:val="left"/>
                    <w:rPr>
                      <w:color w:val="000000"/>
                      <w:szCs w:val="21"/>
                    </w:rPr>
                  </w:pPr>
                </w:p>
              </w:tc>
              <w:tc>
                <w:tcPr>
                  <w:tcW w:w="1119" w:type="dxa"/>
                  <w:vAlign w:val="center"/>
                </w:tcPr>
                <w:p w14:paraId="730CE5C3">
                  <w:pPr>
                    <w:jc w:val="center"/>
                    <w:rPr>
                      <w:color w:val="000000"/>
                    </w:rPr>
                  </w:pPr>
                  <w:r>
                    <w:rPr>
                      <w:color w:val="000000"/>
                    </w:rPr>
                    <w:t>NH</w:t>
                  </w:r>
                  <w:r>
                    <w:rPr>
                      <w:color w:val="000000"/>
                      <w:vertAlign w:val="subscript"/>
                    </w:rPr>
                    <w:t>3</w:t>
                  </w:r>
                  <w:r>
                    <w:rPr>
                      <w:color w:val="000000"/>
                    </w:rPr>
                    <w:t>-N</w:t>
                  </w:r>
                </w:p>
              </w:tc>
              <w:tc>
                <w:tcPr>
                  <w:tcW w:w="2340" w:type="dxa"/>
                  <w:vMerge w:val="continue"/>
                  <w:vAlign w:val="center"/>
                </w:tcPr>
                <w:p w14:paraId="50D76505">
                  <w:pPr>
                    <w:widowControl/>
                    <w:jc w:val="left"/>
                    <w:rPr>
                      <w:color w:val="000000"/>
                      <w:szCs w:val="21"/>
                    </w:rPr>
                  </w:pPr>
                </w:p>
              </w:tc>
              <w:tc>
                <w:tcPr>
                  <w:tcW w:w="3215" w:type="dxa"/>
                  <w:vAlign w:val="center"/>
                </w:tcPr>
                <w:p w14:paraId="724B6254">
                  <w:pPr>
                    <w:snapToGrid w:val="0"/>
                    <w:jc w:val="center"/>
                  </w:pPr>
                  <w:r>
                    <w:t>40</w:t>
                  </w:r>
                </w:p>
              </w:tc>
            </w:tr>
            <w:tr w14:paraId="47E3A0F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PrEx>
              <w:trPr>
                <w:trHeight w:val="360" w:hRule="atLeast"/>
                <w:jc w:val="center"/>
              </w:trPr>
              <w:tc>
                <w:tcPr>
                  <w:tcW w:w="667" w:type="dxa"/>
                  <w:vAlign w:val="center"/>
                </w:tcPr>
                <w:p w14:paraId="09238E3B">
                  <w:pPr>
                    <w:snapToGrid w:val="0"/>
                    <w:jc w:val="center"/>
                    <w:rPr>
                      <w:color w:val="000000"/>
                    </w:rPr>
                  </w:pPr>
                  <w:r>
                    <w:rPr>
                      <w:rFonts w:hint="eastAsia"/>
                      <w:color w:val="000000"/>
                    </w:rPr>
                    <w:t>4</w:t>
                  </w:r>
                </w:p>
              </w:tc>
              <w:tc>
                <w:tcPr>
                  <w:tcW w:w="1172" w:type="dxa"/>
                  <w:vMerge w:val="continue"/>
                  <w:vAlign w:val="center"/>
                </w:tcPr>
                <w:p w14:paraId="34141898">
                  <w:pPr>
                    <w:widowControl/>
                    <w:jc w:val="left"/>
                    <w:rPr>
                      <w:color w:val="000000"/>
                      <w:szCs w:val="21"/>
                    </w:rPr>
                  </w:pPr>
                </w:p>
              </w:tc>
              <w:tc>
                <w:tcPr>
                  <w:tcW w:w="1119" w:type="dxa"/>
                  <w:vAlign w:val="center"/>
                </w:tcPr>
                <w:p w14:paraId="02004AAD">
                  <w:pPr>
                    <w:jc w:val="center"/>
                    <w:rPr>
                      <w:color w:val="000000"/>
                    </w:rPr>
                  </w:pPr>
                  <w:r>
                    <w:rPr>
                      <w:color w:val="000000"/>
                    </w:rPr>
                    <w:t>TP</w:t>
                  </w:r>
                </w:p>
              </w:tc>
              <w:tc>
                <w:tcPr>
                  <w:tcW w:w="2340" w:type="dxa"/>
                  <w:vMerge w:val="continue"/>
                  <w:vAlign w:val="center"/>
                </w:tcPr>
                <w:p w14:paraId="603D7EF3">
                  <w:pPr>
                    <w:widowControl/>
                    <w:jc w:val="left"/>
                    <w:rPr>
                      <w:color w:val="000000"/>
                      <w:szCs w:val="21"/>
                    </w:rPr>
                  </w:pPr>
                </w:p>
              </w:tc>
              <w:tc>
                <w:tcPr>
                  <w:tcW w:w="3215" w:type="dxa"/>
                  <w:vAlign w:val="center"/>
                </w:tcPr>
                <w:p w14:paraId="323C21A6">
                  <w:pPr>
                    <w:snapToGrid w:val="0"/>
                    <w:jc w:val="center"/>
                  </w:pPr>
                  <w:r>
                    <w:t>4</w:t>
                  </w:r>
                </w:p>
              </w:tc>
            </w:tr>
            <w:tr w14:paraId="6A4D1EB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667" w:type="dxa"/>
                  <w:vAlign w:val="center"/>
                </w:tcPr>
                <w:p w14:paraId="4352E861">
                  <w:pPr>
                    <w:snapToGrid w:val="0"/>
                    <w:jc w:val="center"/>
                    <w:rPr>
                      <w:color w:val="000000"/>
                    </w:rPr>
                  </w:pPr>
                  <w:r>
                    <w:rPr>
                      <w:color w:val="000000"/>
                    </w:rPr>
                    <w:t>5</w:t>
                  </w:r>
                </w:p>
              </w:tc>
              <w:tc>
                <w:tcPr>
                  <w:tcW w:w="1172" w:type="dxa"/>
                  <w:vMerge w:val="continue"/>
                  <w:vAlign w:val="center"/>
                </w:tcPr>
                <w:p w14:paraId="5EA9B0B2">
                  <w:pPr>
                    <w:widowControl/>
                    <w:jc w:val="left"/>
                    <w:rPr>
                      <w:color w:val="000000"/>
                      <w:szCs w:val="21"/>
                    </w:rPr>
                  </w:pPr>
                </w:p>
              </w:tc>
              <w:tc>
                <w:tcPr>
                  <w:tcW w:w="1119" w:type="dxa"/>
                  <w:vAlign w:val="center"/>
                </w:tcPr>
                <w:p w14:paraId="2EEC863D">
                  <w:pPr>
                    <w:jc w:val="center"/>
                    <w:rPr>
                      <w:color w:val="000000"/>
                    </w:rPr>
                  </w:pPr>
                  <w:r>
                    <w:rPr>
                      <w:color w:val="000000"/>
                    </w:rPr>
                    <w:t>TN</w:t>
                  </w:r>
                </w:p>
              </w:tc>
              <w:tc>
                <w:tcPr>
                  <w:tcW w:w="2340" w:type="dxa"/>
                  <w:vMerge w:val="continue"/>
                  <w:vAlign w:val="center"/>
                </w:tcPr>
                <w:p w14:paraId="42E6A960">
                  <w:pPr>
                    <w:widowControl/>
                    <w:jc w:val="left"/>
                    <w:rPr>
                      <w:color w:val="000000"/>
                      <w:szCs w:val="21"/>
                    </w:rPr>
                  </w:pPr>
                </w:p>
              </w:tc>
              <w:tc>
                <w:tcPr>
                  <w:tcW w:w="3215" w:type="dxa"/>
                  <w:vAlign w:val="center"/>
                </w:tcPr>
                <w:p w14:paraId="25FCB233">
                  <w:pPr>
                    <w:snapToGrid w:val="0"/>
                    <w:jc w:val="center"/>
                  </w:pPr>
                  <w:r>
                    <w:t>50</w:t>
                  </w:r>
                </w:p>
              </w:tc>
            </w:tr>
          </w:tbl>
          <w:p w14:paraId="4BD35C09">
            <w:pPr>
              <w:pStyle w:val="28"/>
              <w:ind w:firstLine="480"/>
            </w:pPr>
            <w:r>
              <w:rPr>
                <w:rFonts w:hint="eastAsia"/>
              </w:rPr>
              <w:t>④</w:t>
            </w:r>
            <w:r>
              <w:t>废水污染物排放信息表</w:t>
            </w:r>
          </w:p>
          <w:p w14:paraId="067EABA0">
            <w:pPr>
              <w:pStyle w:val="67"/>
              <w:ind w:firstLine="480"/>
            </w:pPr>
            <w:r>
              <w:t xml:space="preserve">                </w:t>
            </w:r>
            <w:r>
              <w:rPr>
                <w:rFonts w:ascii="黑体" w:hAnsi="黑体"/>
              </w:rPr>
              <w:t>废水污染物排放信息表</w:t>
            </w:r>
          </w:p>
          <w:tbl>
            <w:tblPr>
              <w:tblStyle w:val="20"/>
              <w:tblW w:w="8502"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0"/>
              <w:gridCol w:w="1560"/>
              <w:gridCol w:w="1559"/>
              <w:gridCol w:w="1559"/>
              <w:gridCol w:w="1587"/>
              <w:gridCol w:w="1417"/>
            </w:tblGrid>
            <w:tr w14:paraId="45CC210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0" w:type="dxa"/>
                  <w:vAlign w:val="center"/>
                </w:tcPr>
                <w:p w14:paraId="448AD13F">
                  <w:pPr>
                    <w:widowControl/>
                    <w:jc w:val="center"/>
                    <w:rPr>
                      <w:b/>
                      <w:bCs/>
                      <w:color w:val="000000"/>
                      <w:szCs w:val="21"/>
                    </w:rPr>
                  </w:pPr>
                  <w:r>
                    <w:rPr>
                      <w:rFonts w:ascii="宋体" w:hAnsi="宋体"/>
                      <w:b/>
                      <w:bCs/>
                      <w:color w:val="000000"/>
                    </w:rPr>
                    <w:t>序号</w:t>
                  </w:r>
                </w:p>
              </w:tc>
              <w:tc>
                <w:tcPr>
                  <w:tcW w:w="1560" w:type="dxa"/>
                  <w:vAlign w:val="center"/>
                </w:tcPr>
                <w:p w14:paraId="1C8A399A">
                  <w:pPr>
                    <w:widowControl/>
                    <w:jc w:val="center"/>
                    <w:rPr>
                      <w:b/>
                      <w:bCs/>
                      <w:color w:val="000000"/>
                    </w:rPr>
                  </w:pPr>
                  <w:r>
                    <w:rPr>
                      <w:rFonts w:ascii="宋体" w:hAnsi="宋体"/>
                      <w:b/>
                      <w:bCs/>
                      <w:color w:val="000000"/>
                    </w:rPr>
                    <w:t>排放口编号</w:t>
                  </w:r>
                </w:p>
              </w:tc>
              <w:tc>
                <w:tcPr>
                  <w:tcW w:w="1559" w:type="dxa"/>
                  <w:vAlign w:val="center"/>
                </w:tcPr>
                <w:p w14:paraId="7DD08901">
                  <w:pPr>
                    <w:widowControl/>
                    <w:jc w:val="center"/>
                    <w:rPr>
                      <w:b/>
                      <w:bCs/>
                      <w:color w:val="000000"/>
                    </w:rPr>
                  </w:pPr>
                  <w:r>
                    <w:rPr>
                      <w:rFonts w:ascii="宋体" w:hAnsi="宋体"/>
                      <w:b/>
                      <w:bCs/>
                      <w:color w:val="000000"/>
                    </w:rPr>
                    <w:t>污染物种类</w:t>
                  </w:r>
                </w:p>
              </w:tc>
              <w:tc>
                <w:tcPr>
                  <w:tcW w:w="1559" w:type="dxa"/>
                  <w:vAlign w:val="center"/>
                </w:tcPr>
                <w:p w14:paraId="4424F72E">
                  <w:pPr>
                    <w:widowControl/>
                    <w:jc w:val="center"/>
                    <w:rPr>
                      <w:b/>
                      <w:bCs/>
                      <w:color w:val="000000"/>
                    </w:rPr>
                  </w:pPr>
                  <w:r>
                    <w:rPr>
                      <w:rFonts w:ascii="宋体" w:hAnsi="宋体"/>
                      <w:b/>
                      <w:bCs/>
                      <w:color w:val="000000"/>
                    </w:rPr>
                    <w:t>排放浓度</w:t>
                  </w:r>
                </w:p>
                <w:p w14:paraId="592B7773">
                  <w:pPr>
                    <w:widowControl/>
                    <w:jc w:val="center"/>
                    <w:rPr>
                      <w:b/>
                      <w:bCs/>
                      <w:color w:val="000000"/>
                    </w:rPr>
                  </w:pPr>
                  <w:r>
                    <w:rPr>
                      <w:b/>
                      <w:bCs/>
                      <w:color w:val="000000"/>
                    </w:rPr>
                    <w:t>/</w:t>
                  </w:r>
                  <w:r>
                    <w:rPr>
                      <w:rFonts w:ascii="宋体" w:hAnsi="宋体"/>
                      <w:b/>
                      <w:bCs/>
                      <w:color w:val="000000"/>
                    </w:rPr>
                    <w:t>（</w:t>
                  </w:r>
                  <w:r>
                    <w:rPr>
                      <w:b/>
                      <w:bCs/>
                      <w:color w:val="000000"/>
                    </w:rPr>
                    <w:t>mg/L</w:t>
                  </w:r>
                  <w:r>
                    <w:rPr>
                      <w:rFonts w:ascii="宋体" w:hAnsi="宋体"/>
                      <w:b/>
                      <w:bCs/>
                      <w:color w:val="000000"/>
                    </w:rPr>
                    <w:t>）</w:t>
                  </w:r>
                </w:p>
              </w:tc>
              <w:tc>
                <w:tcPr>
                  <w:tcW w:w="1587" w:type="dxa"/>
                  <w:vAlign w:val="center"/>
                </w:tcPr>
                <w:p w14:paraId="73926B83">
                  <w:pPr>
                    <w:widowControl/>
                    <w:jc w:val="center"/>
                    <w:rPr>
                      <w:b/>
                      <w:bCs/>
                      <w:color w:val="000000"/>
                    </w:rPr>
                  </w:pPr>
                  <w:r>
                    <w:rPr>
                      <w:rFonts w:ascii="宋体" w:hAnsi="宋体"/>
                      <w:b/>
                      <w:bCs/>
                      <w:color w:val="000000"/>
                    </w:rPr>
                    <w:t>日排放量</w:t>
                  </w:r>
                </w:p>
                <w:p w14:paraId="533380A4">
                  <w:pPr>
                    <w:widowControl/>
                    <w:jc w:val="center"/>
                    <w:rPr>
                      <w:b/>
                      <w:bCs/>
                      <w:color w:val="000000"/>
                    </w:rPr>
                  </w:pPr>
                  <w:r>
                    <w:rPr>
                      <w:b/>
                      <w:bCs/>
                      <w:color w:val="000000"/>
                    </w:rPr>
                    <w:t>/</w:t>
                  </w:r>
                  <w:r>
                    <w:rPr>
                      <w:rFonts w:ascii="宋体" w:hAnsi="宋体"/>
                      <w:b/>
                      <w:bCs/>
                      <w:color w:val="000000"/>
                    </w:rPr>
                    <w:t>（</w:t>
                  </w:r>
                  <w:r>
                    <w:rPr>
                      <w:b/>
                      <w:bCs/>
                      <w:color w:val="000000"/>
                    </w:rPr>
                    <w:t>kg/d</w:t>
                  </w:r>
                  <w:r>
                    <w:rPr>
                      <w:rFonts w:ascii="宋体" w:hAnsi="宋体"/>
                      <w:b/>
                      <w:bCs/>
                      <w:color w:val="000000"/>
                    </w:rPr>
                    <w:t>）</w:t>
                  </w:r>
                </w:p>
              </w:tc>
              <w:tc>
                <w:tcPr>
                  <w:tcW w:w="1417" w:type="dxa"/>
                  <w:vAlign w:val="center"/>
                </w:tcPr>
                <w:p w14:paraId="79DAFDC0">
                  <w:pPr>
                    <w:widowControl/>
                    <w:jc w:val="center"/>
                    <w:rPr>
                      <w:b/>
                      <w:bCs/>
                      <w:color w:val="000000"/>
                    </w:rPr>
                  </w:pPr>
                  <w:r>
                    <w:rPr>
                      <w:rFonts w:ascii="宋体" w:hAnsi="宋体"/>
                      <w:b/>
                      <w:bCs/>
                      <w:color w:val="000000"/>
                    </w:rPr>
                    <w:t>年排放量</w:t>
                  </w:r>
                </w:p>
                <w:p w14:paraId="61459759">
                  <w:pPr>
                    <w:widowControl/>
                    <w:jc w:val="center"/>
                    <w:rPr>
                      <w:b/>
                      <w:bCs/>
                      <w:color w:val="000000"/>
                    </w:rPr>
                  </w:pPr>
                  <w:r>
                    <w:rPr>
                      <w:b/>
                      <w:bCs/>
                      <w:color w:val="000000"/>
                    </w:rPr>
                    <w:t>/</w:t>
                  </w:r>
                  <w:r>
                    <w:rPr>
                      <w:rFonts w:ascii="宋体" w:hAnsi="宋体"/>
                      <w:b/>
                      <w:bCs/>
                      <w:color w:val="000000"/>
                    </w:rPr>
                    <w:t>（</w:t>
                  </w:r>
                  <w:r>
                    <w:rPr>
                      <w:b/>
                      <w:bCs/>
                      <w:color w:val="000000"/>
                    </w:rPr>
                    <w:t>t/a</w:t>
                  </w:r>
                  <w:r>
                    <w:rPr>
                      <w:rFonts w:ascii="宋体" w:hAnsi="宋体"/>
                      <w:b/>
                      <w:bCs/>
                      <w:color w:val="000000"/>
                    </w:rPr>
                    <w:t>）</w:t>
                  </w:r>
                </w:p>
              </w:tc>
            </w:tr>
            <w:tr w14:paraId="4B00E99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0" w:type="dxa"/>
                  <w:vAlign w:val="center"/>
                </w:tcPr>
                <w:p w14:paraId="431CC2E5">
                  <w:pPr>
                    <w:snapToGrid w:val="0"/>
                    <w:jc w:val="center"/>
                    <w:rPr>
                      <w:color w:val="000000"/>
                    </w:rPr>
                  </w:pPr>
                  <w:r>
                    <w:rPr>
                      <w:color w:val="000000"/>
                    </w:rPr>
                    <w:t>1</w:t>
                  </w:r>
                </w:p>
              </w:tc>
              <w:tc>
                <w:tcPr>
                  <w:tcW w:w="1560" w:type="dxa"/>
                  <w:vMerge w:val="restart"/>
                  <w:vAlign w:val="center"/>
                </w:tcPr>
                <w:p w14:paraId="416D967F">
                  <w:pPr>
                    <w:snapToGrid w:val="0"/>
                    <w:jc w:val="center"/>
                    <w:rPr>
                      <w:color w:val="000000"/>
                    </w:rPr>
                  </w:pPr>
                  <w:r>
                    <w:rPr>
                      <w:color w:val="000000"/>
                    </w:rPr>
                    <w:t>DW001</w:t>
                  </w:r>
                </w:p>
              </w:tc>
              <w:tc>
                <w:tcPr>
                  <w:tcW w:w="1559" w:type="dxa"/>
                  <w:vAlign w:val="center"/>
                </w:tcPr>
                <w:p w14:paraId="24334EAB">
                  <w:pPr>
                    <w:jc w:val="center"/>
                    <w:rPr>
                      <w:color w:val="000000"/>
                    </w:rPr>
                  </w:pPr>
                  <w:r>
                    <w:rPr>
                      <w:color w:val="000000"/>
                    </w:rPr>
                    <w:t>COD</w:t>
                  </w:r>
                </w:p>
              </w:tc>
              <w:tc>
                <w:tcPr>
                  <w:tcW w:w="1559" w:type="dxa"/>
                  <w:vAlign w:val="center"/>
                </w:tcPr>
                <w:p w14:paraId="5F5DC95D">
                  <w:pPr>
                    <w:pStyle w:val="86"/>
                  </w:pPr>
                  <w:r>
                    <w:t xml:space="preserve">276.47 </w:t>
                  </w:r>
                </w:p>
              </w:tc>
              <w:tc>
                <w:tcPr>
                  <w:tcW w:w="1587" w:type="dxa"/>
                  <w:vAlign w:val="center"/>
                </w:tcPr>
                <w:p w14:paraId="2C02ED6C">
                  <w:pPr>
                    <w:pStyle w:val="86"/>
                  </w:pPr>
                  <w:r>
                    <w:t xml:space="preserve">0.2820 </w:t>
                  </w:r>
                </w:p>
              </w:tc>
              <w:tc>
                <w:tcPr>
                  <w:tcW w:w="1417" w:type="dxa"/>
                  <w:vAlign w:val="center"/>
                </w:tcPr>
                <w:p w14:paraId="075B0CA6">
                  <w:pPr>
                    <w:pStyle w:val="86"/>
                  </w:pPr>
                  <w:r>
                    <w:t xml:space="preserve">0.0846 </w:t>
                  </w:r>
                </w:p>
              </w:tc>
            </w:tr>
            <w:tr w14:paraId="4243F25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0" w:type="dxa"/>
                  <w:vAlign w:val="center"/>
                </w:tcPr>
                <w:p w14:paraId="4E69A916">
                  <w:pPr>
                    <w:snapToGrid w:val="0"/>
                    <w:jc w:val="center"/>
                    <w:rPr>
                      <w:color w:val="000000"/>
                    </w:rPr>
                  </w:pPr>
                  <w:r>
                    <w:rPr>
                      <w:color w:val="000000"/>
                    </w:rPr>
                    <w:t>2</w:t>
                  </w:r>
                </w:p>
              </w:tc>
              <w:tc>
                <w:tcPr>
                  <w:tcW w:w="1560" w:type="dxa"/>
                  <w:vMerge w:val="continue"/>
                  <w:vAlign w:val="center"/>
                </w:tcPr>
                <w:p w14:paraId="46887F4B">
                  <w:pPr>
                    <w:snapToGrid w:val="0"/>
                    <w:jc w:val="center"/>
                    <w:rPr>
                      <w:color w:val="000000"/>
                    </w:rPr>
                  </w:pPr>
                </w:p>
              </w:tc>
              <w:tc>
                <w:tcPr>
                  <w:tcW w:w="1559" w:type="dxa"/>
                  <w:vAlign w:val="center"/>
                </w:tcPr>
                <w:p w14:paraId="7D8832F7">
                  <w:pPr>
                    <w:jc w:val="center"/>
                    <w:rPr>
                      <w:color w:val="000000"/>
                    </w:rPr>
                  </w:pPr>
                  <w:r>
                    <w:rPr>
                      <w:rFonts w:hint="eastAsia"/>
                      <w:color w:val="000000"/>
                    </w:rPr>
                    <w:t>S</w:t>
                  </w:r>
                  <w:r>
                    <w:rPr>
                      <w:color w:val="000000"/>
                    </w:rPr>
                    <w:t>S</w:t>
                  </w:r>
                </w:p>
              </w:tc>
              <w:tc>
                <w:tcPr>
                  <w:tcW w:w="1559" w:type="dxa"/>
                  <w:vAlign w:val="center"/>
                </w:tcPr>
                <w:p w14:paraId="6D181BF3">
                  <w:pPr>
                    <w:pStyle w:val="86"/>
                  </w:pPr>
                  <w:r>
                    <w:t xml:space="preserve">101.88 </w:t>
                  </w:r>
                </w:p>
              </w:tc>
              <w:tc>
                <w:tcPr>
                  <w:tcW w:w="1587" w:type="dxa"/>
                  <w:vAlign w:val="center"/>
                </w:tcPr>
                <w:p w14:paraId="50F51A9C">
                  <w:pPr>
                    <w:pStyle w:val="86"/>
                  </w:pPr>
                  <w:r>
                    <w:t xml:space="preserve">0.1039 </w:t>
                  </w:r>
                </w:p>
              </w:tc>
              <w:tc>
                <w:tcPr>
                  <w:tcW w:w="1417" w:type="dxa"/>
                  <w:vAlign w:val="center"/>
                </w:tcPr>
                <w:p w14:paraId="660AAAB6">
                  <w:pPr>
                    <w:pStyle w:val="86"/>
                  </w:pPr>
                  <w:r>
                    <w:t xml:space="preserve">0.0312 </w:t>
                  </w:r>
                </w:p>
              </w:tc>
            </w:tr>
            <w:tr w14:paraId="5FC1E90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0" w:type="dxa"/>
                  <w:vAlign w:val="center"/>
                </w:tcPr>
                <w:p w14:paraId="7D0D080F">
                  <w:pPr>
                    <w:snapToGrid w:val="0"/>
                    <w:jc w:val="center"/>
                    <w:rPr>
                      <w:color w:val="000000"/>
                    </w:rPr>
                  </w:pPr>
                  <w:r>
                    <w:rPr>
                      <w:color w:val="000000"/>
                    </w:rPr>
                    <w:t>3</w:t>
                  </w:r>
                </w:p>
              </w:tc>
              <w:tc>
                <w:tcPr>
                  <w:tcW w:w="1560" w:type="dxa"/>
                  <w:vMerge w:val="continue"/>
                  <w:vAlign w:val="center"/>
                </w:tcPr>
                <w:p w14:paraId="77FB23FA">
                  <w:pPr>
                    <w:widowControl/>
                    <w:jc w:val="left"/>
                    <w:rPr>
                      <w:color w:val="000000"/>
                      <w:szCs w:val="21"/>
                    </w:rPr>
                  </w:pPr>
                </w:p>
              </w:tc>
              <w:tc>
                <w:tcPr>
                  <w:tcW w:w="1559" w:type="dxa"/>
                  <w:vAlign w:val="center"/>
                </w:tcPr>
                <w:p w14:paraId="78A029D3">
                  <w:pPr>
                    <w:jc w:val="center"/>
                    <w:rPr>
                      <w:color w:val="000000"/>
                    </w:rPr>
                  </w:pPr>
                  <w:r>
                    <w:rPr>
                      <w:color w:val="000000"/>
                    </w:rPr>
                    <w:t>NH</w:t>
                  </w:r>
                  <w:r>
                    <w:rPr>
                      <w:color w:val="000000"/>
                      <w:vertAlign w:val="subscript"/>
                    </w:rPr>
                    <w:t>3</w:t>
                  </w:r>
                  <w:r>
                    <w:rPr>
                      <w:color w:val="000000"/>
                    </w:rPr>
                    <w:t>-N</w:t>
                  </w:r>
                </w:p>
              </w:tc>
              <w:tc>
                <w:tcPr>
                  <w:tcW w:w="1559" w:type="dxa"/>
                  <w:vAlign w:val="center"/>
                </w:tcPr>
                <w:p w14:paraId="3371752B">
                  <w:pPr>
                    <w:pStyle w:val="86"/>
                  </w:pPr>
                  <w:r>
                    <w:t xml:space="preserve">22.88 </w:t>
                  </w:r>
                </w:p>
              </w:tc>
              <w:tc>
                <w:tcPr>
                  <w:tcW w:w="1587" w:type="dxa"/>
                  <w:vAlign w:val="center"/>
                </w:tcPr>
                <w:p w14:paraId="22A8D3A8">
                  <w:pPr>
                    <w:pStyle w:val="86"/>
                  </w:pPr>
                  <w:r>
                    <w:t xml:space="preserve">0.0233 </w:t>
                  </w:r>
                </w:p>
              </w:tc>
              <w:tc>
                <w:tcPr>
                  <w:tcW w:w="1417" w:type="dxa"/>
                  <w:vAlign w:val="center"/>
                </w:tcPr>
                <w:p w14:paraId="41CC9020">
                  <w:pPr>
                    <w:pStyle w:val="86"/>
                  </w:pPr>
                  <w:r>
                    <w:t xml:space="preserve">0.0070 </w:t>
                  </w:r>
                </w:p>
              </w:tc>
            </w:tr>
            <w:tr w14:paraId="1C3551D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0" w:type="dxa"/>
                  <w:vAlign w:val="center"/>
                </w:tcPr>
                <w:p w14:paraId="2D157D5F">
                  <w:pPr>
                    <w:snapToGrid w:val="0"/>
                    <w:jc w:val="center"/>
                    <w:rPr>
                      <w:color w:val="000000"/>
                    </w:rPr>
                  </w:pPr>
                  <w:r>
                    <w:rPr>
                      <w:color w:val="000000"/>
                    </w:rPr>
                    <w:t>4</w:t>
                  </w:r>
                </w:p>
              </w:tc>
              <w:tc>
                <w:tcPr>
                  <w:tcW w:w="1560" w:type="dxa"/>
                  <w:vMerge w:val="continue"/>
                  <w:vAlign w:val="center"/>
                </w:tcPr>
                <w:p w14:paraId="2C777875">
                  <w:pPr>
                    <w:widowControl/>
                    <w:jc w:val="left"/>
                    <w:rPr>
                      <w:color w:val="000000"/>
                      <w:szCs w:val="21"/>
                    </w:rPr>
                  </w:pPr>
                </w:p>
              </w:tc>
              <w:tc>
                <w:tcPr>
                  <w:tcW w:w="1559" w:type="dxa"/>
                  <w:vAlign w:val="center"/>
                </w:tcPr>
                <w:p w14:paraId="7E54FD43">
                  <w:pPr>
                    <w:jc w:val="center"/>
                    <w:rPr>
                      <w:color w:val="000000"/>
                    </w:rPr>
                  </w:pPr>
                  <w:r>
                    <w:rPr>
                      <w:color w:val="000000"/>
                    </w:rPr>
                    <w:t>TP</w:t>
                  </w:r>
                </w:p>
              </w:tc>
              <w:tc>
                <w:tcPr>
                  <w:tcW w:w="1559" w:type="dxa"/>
                  <w:vAlign w:val="center"/>
                </w:tcPr>
                <w:p w14:paraId="1D84EE99">
                  <w:pPr>
                    <w:pStyle w:val="86"/>
                  </w:pPr>
                  <w:r>
                    <w:t xml:space="preserve">3.00 </w:t>
                  </w:r>
                </w:p>
              </w:tc>
              <w:tc>
                <w:tcPr>
                  <w:tcW w:w="1587" w:type="dxa"/>
                  <w:vAlign w:val="center"/>
                </w:tcPr>
                <w:p w14:paraId="0FC235C8">
                  <w:pPr>
                    <w:pStyle w:val="86"/>
                  </w:pPr>
                  <w:r>
                    <w:t xml:space="preserve">0.0031 </w:t>
                  </w:r>
                </w:p>
              </w:tc>
              <w:tc>
                <w:tcPr>
                  <w:tcW w:w="1417" w:type="dxa"/>
                  <w:vAlign w:val="center"/>
                </w:tcPr>
                <w:p w14:paraId="2895F719">
                  <w:pPr>
                    <w:pStyle w:val="86"/>
                  </w:pPr>
                  <w:r>
                    <w:t xml:space="preserve">0.0009 </w:t>
                  </w:r>
                </w:p>
              </w:tc>
            </w:tr>
            <w:tr w14:paraId="19C843A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0" w:type="dxa"/>
                  <w:vAlign w:val="center"/>
                </w:tcPr>
                <w:p w14:paraId="4490DA07">
                  <w:pPr>
                    <w:snapToGrid w:val="0"/>
                    <w:jc w:val="center"/>
                    <w:rPr>
                      <w:color w:val="000000"/>
                    </w:rPr>
                  </w:pPr>
                  <w:r>
                    <w:rPr>
                      <w:color w:val="000000"/>
                    </w:rPr>
                    <w:t>5</w:t>
                  </w:r>
                </w:p>
              </w:tc>
              <w:tc>
                <w:tcPr>
                  <w:tcW w:w="1560" w:type="dxa"/>
                  <w:vMerge w:val="continue"/>
                  <w:vAlign w:val="center"/>
                </w:tcPr>
                <w:p w14:paraId="0409183C">
                  <w:pPr>
                    <w:widowControl/>
                    <w:jc w:val="left"/>
                    <w:rPr>
                      <w:color w:val="000000"/>
                      <w:szCs w:val="21"/>
                    </w:rPr>
                  </w:pPr>
                </w:p>
              </w:tc>
              <w:tc>
                <w:tcPr>
                  <w:tcW w:w="1559" w:type="dxa"/>
                  <w:vAlign w:val="center"/>
                </w:tcPr>
                <w:p w14:paraId="6BF37988">
                  <w:pPr>
                    <w:jc w:val="center"/>
                    <w:rPr>
                      <w:color w:val="000000"/>
                    </w:rPr>
                  </w:pPr>
                  <w:r>
                    <w:rPr>
                      <w:color w:val="000000"/>
                    </w:rPr>
                    <w:t>TN</w:t>
                  </w:r>
                </w:p>
              </w:tc>
              <w:tc>
                <w:tcPr>
                  <w:tcW w:w="1559" w:type="dxa"/>
                  <w:vAlign w:val="center"/>
                </w:tcPr>
                <w:p w14:paraId="768A3809">
                  <w:pPr>
                    <w:pStyle w:val="86"/>
                  </w:pPr>
                  <w:r>
                    <w:t xml:space="preserve">37.94 </w:t>
                  </w:r>
                </w:p>
              </w:tc>
              <w:tc>
                <w:tcPr>
                  <w:tcW w:w="1587" w:type="dxa"/>
                  <w:vAlign w:val="center"/>
                </w:tcPr>
                <w:p w14:paraId="2F94A52F">
                  <w:pPr>
                    <w:pStyle w:val="86"/>
                  </w:pPr>
                  <w:r>
                    <w:t xml:space="preserve">0.0387 </w:t>
                  </w:r>
                </w:p>
              </w:tc>
              <w:tc>
                <w:tcPr>
                  <w:tcW w:w="1417" w:type="dxa"/>
                  <w:vAlign w:val="center"/>
                </w:tcPr>
                <w:p w14:paraId="7491D5E9">
                  <w:pPr>
                    <w:pStyle w:val="86"/>
                  </w:pPr>
                  <w:r>
                    <w:t xml:space="preserve">0.0116 </w:t>
                  </w:r>
                </w:p>
              </w:tc>
            </w:tr>
          </w:tbl>
          <w:p w14:paraId="72E9E3D2">
            <w:pPr>
              <w:pStyle w:val="28"/>
              <w:ind w:firstLine="480"/>
            </w:pPr>
            <w:r>
              <w:rPr>
                <w:rFonts w:hint="eastAsia"/>
              </w:rPr>
              <w:t>由上表可知，本项目废水污染物出厂排放总量：COD</w:t>
            </w:r>
            <w:r>
              <w:t xml:space="preserve"> </w:t>
            </w:r>
            <w:r>
              <w:rPr>
                <w:rFonts w:hint="eastAsia"/>
              </w:rPr>
              <w:t>0.0846t/a、</w:t>
            </w:r>
            <w:r>
              <w:t xml:space="preserve">SS </w:t>
            </w:r>
            <w:r>
              <w:rPr>
                <w:rFonts w:hint="eastAsia"/>
              </w:rPr>
              <w:t>0.0312t/a、NH</w:t>
            </w:r>
            <w:r>
              <w:rPr>
                <w:rFonts w:hint="eastAsia"/>
                <w:vertAlign w:val="subscript"/>
              </w:rPr>
              <w:t>3</w:t>
            </w:r>
            <w:r>
              <w:rPr>
                <w:rFonts w:hint="eastAsia"/>
              </w:rPr>
              <w:t>-N</w:t>
            </w:r>
            <w:r>
              <w:t xml:space="preserve"> </w:t>
            </w:r>
            <w:r>
              <w:rPr>
                <w:rFonts w:hint="eastAsia"/>
              </w:rPr>
              <w:t>0.0070t/a、TP</w:t>
            </w:r>
            <w:r>
              <w:t xml:space="preserve"> </w:t>
            </w:r>
            <w:r>
              <w:rPr>
                <w:rFonts w:hint="eastAsia"/>
              </w:rPr>
              <w:t>0.0009t/a、TN</w:t>
            </w:r>
            <w:r>
              <w:t xml:space="preserve"> </w:t>
            </w:r>
            <w:r>
              <w:rPr>
                <w:rFonts w:hint="eastAsia"/>
              </w:rPr>
              <w:t>0.0116t/a，经获嘉县香山家园污水处理厂处理后废水污染物排放总量：COD</w:t>
            </w:r>
            <w:r>
              <w:t xml:space="preserve"> </w:t>
            </w:r>
            <w:r>
              <w:rPr>
                <w:rFonts w:hint="eastAsia"/>
              </w:rPr>
              <w:t>0.0122t/a、</w:t>
            </w:r>
            <w:r>
              <w:t xml:space="preserve">SS </w:t>
            </w:r>
            <w:r>
              <w:rPr>
                <w:rFonts w:hint="eastAsia"/>
              </w:rPr>
              <w:t>0.0</w:t>
            </w:r>
            <w:r>
              <w:t>0</w:t>
            </w:r>
            <w:r>
              <w:rPr>
                <w:rFonts w:hint="eastAsia"/>
              </w:rPr>
              <w:t>31t/a、NH</w:t>
            </w:r>
            <w:r>
              <w:rPr>
                <w:rFonts w:hint="eastAsia"/>
                <w:vertAlign w:val="subscript"/>
              </w:rPr>
              <w:t>3</w:t>
            </w:r>
            <w:r>
              <w:rPr>
                <w:rFonts w:hint="eastAsia"/>
              </w:rPr>
              <w:t>-N</w:t>
            </w:r>
            <w:r>
              <w:t xml:space="preserve"> </w:t>
            </w:r>
            <w:r>
              <w:rPr>
                <w:rFonts w:hint="eastAsia"/>
              </w:rPr>
              <w:t>0.0006t/a、TP</w:t>
            </w:r>
            <w:r>
              <w:t xml:space="preserve"> </w:t>
            </w:r>
            <w:r>
              <w:rPr>
                <w:rFonts w:hint="eastAsia"/>
              </w:rPr>
              <w:t>0.0001t/a、TN</w:t>
            </w:r>
            <w:r>
              <w:t xml:space="preserve"> </w:t>
            </w:r>
            <w:r>
              <w:rPr>
                <w:rFonts w:hint="eastAsia"/>
              </w:rPr>
              <w:t>0.0046。</w:t>
            </w:r>
          </w:p>
          <w:p w14:paraId="59562B00">
            <w:pPr>
              <w:spacing w:line="460" w:lineRule="exact"/>
              <w:ind w:firstLine="482" w:firstLineChars="200"/>
              <w:rPr>
                <w:rFonts w:hint="eastAsia" w:ascii="宋体" w:hAnsi="宋体"/>
                <w:b/>
                <w:sz w:val="24"/>
              </w:rPr>
            </w:pPr>
            <w:r>
              <w:rPr>
                <w:b/>
                <w:color w:val="000000"/>
                <w:sz w:val="24"/>
              </w:rPr>
              <w:t>5</w:t>
            </w:r>
            <w:r>
              <w:rPr>
                <w:rFonts w:ascii="宋体" w:hAnsi="宋体"/>
                <w:b/>
                <w:color w:val="000000"/>
                <w:sz w:val="24"/>
              </w:rPr>
              <w:t>、</w:t>
            </w:r>
            <w:r>
              <w:rPr>
                <w:rFonts w:ascii="宋体" w:hAnsi="宋体"/>
                <w:b/>
                <w:sz w:val="24"/>
              </w:rPr>
              <w:t>全厂</w:t>
            </w:r>
            <w:r>
              <w:rPr>
                <w:rFonts w:hint="eastAsia" w:ascii="宋体" w:hAnsi="宋体"/>
                <w:b/>
                <w:sz w:val="24"/>
              </w:rPr>
              <w:t>废水</w:t>
            </w:r>
            <w:r>
              <w:rPr>
                <w:rFonts w:ascii="宋体" w:hAnsi="宋体"/>
                <w:b/>
                <w:sz w:val="24"/>
              </w:rPr>
              <w:t>污染物排放</w:t>
            </w:r>
            <w:r>
              <w:rPr>
                <w:rFonts w:hint="eastAsia" w:ascii="宋体" w:hAnsi="宋体"/>
                <w:b/>
                <w:sz w:val="24"/>
              </w:rPr>
              <w:t>“三本账”</w:t>
            </w:r>
            <w:r>
              <w:rPr>
                <w:rFonts w:ascii="宋体" w:hAnsi="宋体"/>
                <w:b/>
                <w:sz w:val="24"/>
              </w:rPr>
              <w:t>情况</w:t>
            </w:r>
          </w:p>
          <w:p w14:paraId="7CBDC254">
            <w:pPr>
              <w:pStyle w:val="28"/>
              <w:ind w:firstLine="480"/>
            </w:pPr>
          </w:p>
          <w:p w14:paraId="59BC7205">
            <w:pPr>
              <w:pStyle w:val="67"/>
              <w:ind w:firstLine="480"/>
            </w:pPr>
            <w:r>
              <w:t xml:space="preserve">       </w:t>
            </w:r>
            <w:r>
              <w:rPr>
                <w:rFonts w:hint="eastAsia"/>
              </w:rPr>
              <w:t xml:space="preserve"> </w:t>
            </w:r>
            <w:r>
              <w:t xml:space="preserve">   </w:t>
            </w:r>
            <w:r>
              <w:rPr>
                <w:rFonts w:ascii="黑体" w:hAnsi="黑体"/>
              </w:rPr>
              <w:t>全厂污染物排放</w:t>
            </w:r>
            <w:r>
              <w:rPr>
                <w:rFonts w:hint="eastAsia" w:ascii="黑体" w:hAnsi="黑体"/>
              </w:rPr>
              <w:t>“三本账”</w:t>
            </w:r>
            <w:r>
              <w:rPr>
                <w:rFonts w:ascii="黑体" w:hAnsi="黑体"/>
              </w:rPr>
              <w:t>一览表</w:t>
            </w:r>
            <w:r>
              <w:t xml:space="preserve">        </w:t>
            </w:r>
            <w:r>
              <w:rPr>
                <w:rFonts w:ascii="黑体" w:hAnsi="黑体"/>
              </w:rPr>
              <w:t>单位：</w:t>
            </w:r>
            <w:r>
              <w:t>t/a</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61"/>
              <w:gridCol w:w="1169"/>
              <w:gridCol w:w="1564"/>
              <w:gridCol w:w="1564"/>
              <w:gridCol w:w="1217"/>
              <w:gridCol w:w="1217"/>
              <w:gridCol w:w="1067"/>
            </w:tblGrid>
            <w:tr w14:paraId="1EECA7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930" w:type="dxa"/>
                  <w:gridSpan w:val="2"/>
                  <w:vMerge w:val="restart"/>
                  <w:tcBorders>
                    <w:top w:val="single" w:color="auto" w:sz="8" w:space="0"/>
                    <w:left w:val="nil"/>
                    <w:bottom w:val="single" w:color="auto" w:sz="4" w:space="0"/>
                    <w:right w:val="single" w:color="auto" w:sz="4" w:space="0"/>
                  </w:tcBorders>
                  <w:vAlign w:val="center"/>
                </w:tcPr>
                <w:p w14:paraId="2D6F1BEF">
                  <w:pPr>
                    <w:pStyle w:val="86"/>
                    <w:rPr>
                      <w:b/>
                      <w:bCs w:val="0"/>
                      <w:szCs w:val="21"/>
                    </w:rPr>
                  </w:pPr>
                  <w:r>
                    <w:rPr>
                      <w:b/>
                      <w:bCs w:val="0"/>
                    </w:rPr>
                    <w:t>污染物</w:t>
                  </w:r>
                </w:p>
              </w:tc>
              <w:tc>
                <w:tcPr>
                  <w:tcW w:w="3128" w:type="dxa"/>
                  <w:gridSpan w:val="2"/>
                  <w:tcBorders>
                    <w:top w:val="single" w:color="auto" w:sz="8" w:space="0"/>
                    <w:left w:val="single" w:color="auto" w:sz="4" w:space="0"/>
                    <w:bottom w:val="single" w:color="auto" w:sz="4" w:space="0"/>
                    <w:right w:val="single" w:color="auto" w:sz="4" w:space="0"/>
                  </w:tcBorders>
                  <w:vAlign w:val="center"/>
                </w:tcPr>
                <w:p w14:paraId="1A8F6BCE">
                  <w:pPr>
                    <w:pStyle w:val="86"/>
                    <w:rPr>
                      <w:b/>
                      <w:bCs w:val="0"/>
                    </w:rPr>
                  </w:pPr>
                  <w:r>
                    <w:rPr>
                      <w:rFonts w:hint="eastAsia"/>
                      <w:b/>
                      <w:bCs w:val="0"/>
                    </w:rPr>
                    <w:t>现有</w:t>
                  </w:r>
                  <w:r>
                    <w:rPr>
                      <w:b/>
                      <w:bCs w:val="0"/>
                    </w:rPr>
                    <w:t>工程</w:t>
                  </w:r>
                </w:p>
              </w:tc>
              <w:tc>
                <w:tcPr>
                  <w:tcW w:w="1217" w:type="dxa"/>
                  <w:vMerge w:val="restart"/>
                  <w:tcBorders>
                    <w:top w:val="single" w:color="auto" w:sz="8" w:space="0"/>
                    <w:left w:val="single" w:color="auto" w:sz="4" w:space="0"/>
                    <w:bottom w:val="single" w:color="auto" w:sz="4" w:space="0"/>
                    <w:right w:val="single" w:color="auto" w:sz="4" w:space="0"/>
                  </w:tcBorders>
                  <w:vAlign w:val="center"/>
                </w:tcPr>
                <w:p w14:paraId="0B27785C">
                  <w:pPr>
                    <w:pStyle w:val="86"/>
                    <w:rPr>
                      <w:b/>
                      <w:bCs w:val="0"/>
                    </w:rPr>
                  </w:pPr>
                  <w:r>
                    <w:rPr>
                      <w:b/>
                      <w:bCs w:val="0"/>
                    </w:rPr>
                    <w:t>本工程</w:t>
                  </w:r>
                </w:p>
                <w:p w14:paraId="04410F95">
                  <w:pPr>
                    <w:pStyle w:val="86"/>
                    <w:rPr>
                      <w:b/>
                      <w:bCs w:val="0"/>
                    </w:rPr>
                  </w:pPr>
                  <w:r>
                    <w:rPr>
                      <w:b/>
                      <w:bCs w:val="0"/>
                    </w:rPr>
                    <w:t>排放量</w:t>
                  </w:r>
                </w:p>
              </w:tc>
              <w:tc>
                <w:tcPr>
                  <w:tcW w:w="1217" w:type="dxa"/>
                  <w:vMerge w:val="restart"/>
                  <w:tcBorders>
                    <w:top w:val="single" w:color="auto" w:sz="8" w:space="0"/>
                    <w:left w:val="single" w:color="auto" w:sz="4" w:space="0"/>
                    <w:bottom w:val="single" w:color="auto" w:sz="4" w:space="0"/>
                    <w:right w:val="single" w:color="auto" w:sz="4" w:space="0"/>
                  </w:tcBorders>
                  <w:vAlign w:val="center"/>
                </w:tcPr>
                <w:p w14:paraId="4EFF7668">
                  <w:pPr>
                    <w:pStyle w:val="86"/>
                    <w:rPr>
                      <w:b/>
                      <w:bCs w:val="0"/>
                      <w:color w:val="000000"/>
                    </w:rPr>
                  </w:pPr>
                  <w:r>
                    <w:rPr>
                      <w:b/>
                      <w:bCs w:val="0"/>
                      <w:color w:val="000000"/>
                    </w:rPr>
                    <w:t>全厂排</w:t>
                  </w:r>
                </w:p>
                <w:p w14:paraId="396E6539">
                  <w:pPr>
                    <w:pStyle w:val="86"/>
                    <w:rPr>
                      <w:b/>
                      <w:bCs w:val="0"/>
                      <w:color w:val="000000"/>
                    </w:rPr>
                  </w:pPr>
                  <w:r>
                    <w:rPr>
                      <w:b/>
                      <w:bCs w:val="0"/>
                      <w:color w:val="000000"/>
                    </w:rPr>
                    <w:t>放总量</w:t>
                  </w:r>
                </w:p>
              </w:tc>
              <w:tc>
                <w:tcPr>
                  <w:tcW w:w="1067" w:type="dxa"/>
                  <w:vMerge w:val="restart"/>
                  <w:tcBorders>
                    <w:top w:val="single" w:color="auto" w:sz="8" w:space="0"/>
                    <w:left w:val="single" w:color="auto" w:sz="4" w:space="0"/>
                    <w:bottom w:val="single" w:color="auto" w:sz="4" w:space="0"/>
                    <w:right w:val="nil"/>
                  </w:tcBorders>
                  <w:vAlign w:val="center"/>
                </w:tcPr>
                <w:p w14:paraId="5B2E15B2">
                  <w:pPr>
                    <w:pStyle w:val="86"/>
                    <w:rPr>
                      <w:b/>
                      <w:bCs w:val="0"/>
                      <w:color w:val="000000"/>
                    </w:rPr>
                  </w:pPr>
                  <w:r>
                    <w:rPr>
                      <w:rFonts w:hint="eastAsia"/>
                      <w:b/>
                      <w:bCs w:val="0"/>
                      <w:color w:val="000000"/>
                    </w:rPr>
                    <w:t>排放</w:t>
                  </w:r>
                </w:p>
                <w:p w14:paraId="12032D47">
                  <w:pPr>
                    <w:pStyle w:val="86"/>
                    <w:rPr>
                      <w:b/>
                      <w:bCs w:val="0"/>
                      <w:color w:val="000000"/>
                    </w:rPr>
                  </w:pPr>
                  <w:r>
                    <w:rPr>
                      <w:b/>
                      <w:bCs w:val="0"/>
                      <w:color w:val="000000"/>
                    </w:rPr>
                    <w:t>增减量</w:t>
                  </w:r>
                </w:p>
              </w:tc>
            </w:tr>
            <w:tr w14:paraId="20C66A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930" w:type="dxa"/>
                  <w:gridSpan w:val="2"/>
                  <w:vMerge w:val="continue"/>
                  <w:tcBorders>
                    <w:top w:val="single" w:color="auto" w:sz="8" w:space="0"/>
                    <w:left w:val="nil"/>
                    <w:bottom w:val="single" w:color="auto" w:sz="4" w:space="0"/>
                    <w:right w:val="single" w:color="auto" w:sz="4" w:space="0"/>
                  </w:tcBorders>
                  <w:vAlign w:val="center"/>
                </w:tcPr>
                <w:p w14:paraId="77E5A7BD">
                  <w:pPr>
                    <w:pStyle w:val="86"/>
                    <w:rPr>
                      <w:szCs w:val="21"/>
                    </w:rPr>
                  </w:pPr>
                </w:p>
              </w:tc>
              <w:tc>
                <w:tcPr>
                  <w:tcW w:w="1564" w:type="dxa"/>
                  <w:tcBorders>
                    <w:top w:val="single" w:color="auto" w:sz="4" w:space="0"/>
                    <w:left w:val="single" w:color="auto" w:sz="4" w:space="0"/>
                    <w:bottom w:val="single" w:color="auto" w:sz="4" w:space="0"/>
                    <w:right w:val="single" w:color="auto" w:sz="4" w:space="0"/>
                  </w:tcBorders>
                  <w:vAlign w:val="center"/>
                </w:tcPr>
                <w:p w14:paraId="4060E8BC">
                  <w:pPr>
                    <w:pStyle w:val="86"/>
                    <w:rPr>
                      <w:b/>
                      <w:bCs w:val="0"/>
                    </w:rPr>
                  </w:pPr>
                  <w:r>
                    <w:rPr>
                      <w:b/>
                      <w:bCs w:val="0"/>
                    </w:rPr>
                    <w:t>实际排放量</w:t>
                  </w:r>
                </w:p>
              </w:tc>
              <w:tc>
                <w:tcPr>
                  <w:tcW w:w="156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0CD3D80">
                  <w:pPr>
                    <w:pStyle w:val="86"/>
                    <w:rPr>
                      <w:b/>
                      <w:bCs w:val="0"/>
                    </w:rPr>
                  </w:pPr>
                  <w:r>
                    <w:rPr>
                      <w:rFonts w:hint="eastAsia"/>
                      <w:b/>
                      <w:bCs w:val="0"/>
                    </w:rPr>
                    <w:t>允许</w:t>
                  </w:r>
                  <w:r>
                    <w:rPr>
                      <w:b/>
                      <w:bCs w:val="0"/>
                    </w:rPr>
                    <w:t>排放量</w:t>
                  </w:r>
                </w:p>
              </w:tc>
              <w:tc>
                <w:tcPr>
                  <w:tcW w:w="1217" w:type="dxa"/>
                  <w:vMerge w:val="continue"/>
                  <w:tcBorders>
                    <w:top w:val="single" w:color="auto" w:sz="8" w:space="0"/>
                    <w:left w:val="single" w:color="auto" w:sz="4" w:space="0"/>
                    <w:bottom w:val="single" w:color="auto" w:sz="4" w:space="0"/>
                    <w:right w:val="single" w:color="auto" w:sz="4" w:space="0"/>
                  </w:tcBorders>
                  <w:vAlign w:val="center"/>
                </w:tcPr>
                <w:p w14:paraId="3CBD4319">
                  <w:pPr>
                    <w:pStyle w:val="86"/>
                    <w:rPr>
                      <w:szCs w:val="21"/>
                    </w:rPr>
                  </w:pPr>
                </w:p>
              </w:tc>
              <w:tc>
                <w:tcPr>
                  <w:tcW w:w="1217" w:type="dxa"/>
                  <w:vMerge w:val="continue"/>
                  <w:tcBorders>
                    <w:top w:val="single" w:color="auto" w:sz="8" w:space="0"/>
                    <w:left w:val="single" w:color="auto" w:sz="4" w:space="0"/>
                    <w:bottom w:val="single" w:color="auto" w:sz="4" w:space="0"/>
                    <w:right w:val="single" w:color="auto" w:sz="4" w:space="0"/>
                  </w:tcBorders>
                  <w:vAlign w:val="center"/>
                </w:tcPr>
                <w:p w14:paraId="43C3E9A1">
                  <w:pPr>
                    <w:pStyle w:val="86"/>
                    <w:rPr>
                      <w:color w:val="000000"/>
                      <w:szCs w:val="21"/>
                    </w:rPr>
                  </w:pPr>
                </w:p>
              </w:tc>
              <w:tc>
                <w:tcPr>
                  <w:tcW w:w="1067" w:type="dxa"/>
                  <w:vMerge w:val="continue"/>
                  <w:tcBorders>
                    <w:top w:val="single" w:color="auto" w:sz="8" w:space="0"/>
                    <w:left w:val="single" w:color="auto" w:sz="4" w:space="0"/>
                    <w:bottom w:val="single" w:color="auto" w:sz="4" w:space="0"/>
                    <w:right w:val="nil"/>
                  </w:tcBorders>
                  <w:vAlign w:val="center"/>
                </w:tcPr>
                <w:p w14:paraId="4DE68D45">
                  <w:pPr>
                    <w:pStyle w:val="86"/>
                    <w:rPr>
                      <w:color w:val="000000"/>
                      <w:szCs w:val="21"/>
                    </w:rPr>
                  </w:pPr>
                </w:p>
              </w:tc>
            </w:tr>
            <w:tr w14:paraId="386AC5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61" w:type="dxa"/>
                  <w:vMerge w:val="restart"/>
                  <w:tcBorders>
                    <w:top w:val="single" w:color="auto" w:sz="4" w:space="0"/>
                    <w:left w:val="nil"/>
                    <w:bottom w:val="single" w:color="auto" w:sz="4" w:space="0"/>
                    <w:right w:val="single" w:color="auto" w:sz="4" w:space="0"/>
                  </w:tcBorders>
                  <w:vAlign w:val="center"/>
                </w:tcPr>
                <w:p w14:paraId="76EAFA2D">
                  <w:pPr>
                    <w:pStyle w:val="86"/>
                  </w:pPr>
                  <w:r>
                    <w:t>废</w:t>
                  </w:r>
                  <w:r>
                    <w:rPr>
                      <w:rFonts w:hint="eastAsia"/>
                    </w:rPr>
                    <w:t>水</w:t>
                  </w:r>
                </w:p>
              </w:tc>
              <w:tc>
                <w:tcPr>
                  <w:tcW w:w="1169" w:type="dxa"/>
                  <w:tcBorders>
                    <w:top w:val="single" w:color="auto" w:sz="4" w:space="0"/>
                    <w:left w:val="single" w:color="auto" w:sz="4" w:space="0"/>
                    <w:bottom w:val="single" w:color="auto" w:sz="4" w:space="0"/>
                    <w:right w:val="single" w:color="auto" w:sz="4" w:space="0"/>
                  </w:tcBorders>
                  <w:vAlign w:val="center"/>
                </w:tcPr>
                <w:p w14:paraId="2F8C7760">
                  <w:pPr>
                    <w:pStyle w:val="86"/>
                  </w:pPr>
                  <w:r>
                    <w:rPr>
                      <w:color w:val="000000"/>
                      <w:spacing w:val="-4"/>
                    </w:rPr>
                    <w:t>COD</w:t>
                  </w:r>
                </w:p>
              </w:tc>
              <w:tc>
                <w:tcPr>
                  <w:tcW w:w="1564" w:type="dxa"/>
                  <w:tcBorders>
                    <w:top w:val="single" w:color="auto" w:sz="4" w:space="0"/>
                    <w:left w:val="single" w:color="auto" w:sz="4" w:space="0"/>
                    <w:bottom w:val="single" w:color="auto" w:sz="4" w:space="0"/>
                    <w:right w:val="single" w:color="auto" w:sz="4" w:space="0"/>
                  </w:tcBorders>
                  <w:vAlign w:val="center"/>
                </w:tcPr>
                <w:p w14:paraId="3ACC6E6C">
                  <w:pPr>
                    <w:pStyle w:val="86"/>
                    <w:rPr>
                      <w:kern w:val="2"/>
                    </w:rPr>
                  </w:pPr>
                  <w:r>
                    <w:t xml:space="preserve">0.0356 </w:t>
                  </w:r>
                </w:p>
              </w:tc>
              <w:tc>
                <w:tcPr>
                  <w:tcW w:w="1564" w:type="dxa"/>
                  <w:tcBorders>
                    <w:top w:val="single" w:color="auto" w:sz="4" w:space="0"/>
                    <w:left w:val="single" w:color="auto" w:sz="4" w:space="0"/>
                    <w:bottom w:val="single" w:color="auto" w:sz="4" w:space="0"/>
                    <w:right w:val="single" w:color="auto" w:sz="4" w:space="0"/>
                  </w:tcBorders>
                  <w:vAlign w:val="center"/>
                </w:tcPr>
                <w:p w14:paraId="4FB50930">
                  <w:pPr>
                    <w:pStyle w:val="86"/>
                  </w:pPr>
                  <w:r>
                    <w:t>0.2023</w:t>
                  </w:r>
                </w:p>
              </w:tc>
              <w:tc>
                <w:tcPr>
                  <w:tcW w:w="1217" w:type="dxa"/>
                  <w:tcBorders>
                    <w:top w:val="single" w:color="auto" w:sz="4" w:space="0"/>
                    <w:left w:val="single" w:color="auto" w:sz="4" w:space="0"/>
                    <w:bottom w:val="single" w:color="auto" w:sz="4" w:space="0"/>
                    <w:right w:val="single" w:color="auto" w:sz="4" w:space="0"/>
                  </w:tcBorders>
                  <w:vAlign w:val="center"/>
                </w:tcPr>
                <w:p w14:paraId="6F2E5C1D">
                  <w:pPr>
                    <w:pStyle w:val="86"/>
                  </w:pPr>
                  <w:r>
                    <w:t xml:space="preserve">0.0122 </w:t>
                  </w:r>
                </w:p>
              </w:tc>
              <w:tc>
                <w:tcPr>
                  <w:tcW w:w="1217" w:type="dxa"/>
                  <w:tcBorders>
                    <w:top w:val="single" w:color="auto" w:sz="4" w:space="0"/>
                    <w:left w:val="single" w:color="auto" w:sz="4" w:space="0"/>
                    <w:bottom w:val="single" w:color="auto" w:sz="4" w:space="0"/>
                    <w:right w:val="single" w:color="auto" w:sz="4" w:space="0"/>
                  </w:tcBorders>
                  <w:vAlign w:val="center"/>
                </w:tcPr>
                <w:p w14:paraId="6090B108">
                  <w:pPr>
                    <w:pStyle w:val="86"/>
                  </w:pPr>
                  <w:r>
                    <w:rPr>
                      <w:rFonts w:hint="eastAsia"/>
                    </w:rPr>
                    <w:t xml:space="preserve">0.0478 </w:t>
                  </w:r>
                </w:p>
              </w:tc>
              <w:tc>
                <w:tcPr>
                  <w:tcW w:w="1067" w:type="dxa"/>
                  <w:tcBorders>
                    <w:top w:val="single" w:color="auto" w:sz="4" w:space="0"/>
                    <w:left w:val="single" w:color="auto" w:sz="4" w:space="0"/>
                    <w:bottom w:val="single" w:color="auto" w:sz="4" w:space="0"/>
                    <w:right w:val="nil"/>
                  </w:tcBorders>
                  <w:vAlign w:val="center"/>
                </w:tcPr>
                <w:p w14:paraId="29E45A59">
                  <w:pPr>
                    <w:pStyle w:val="86"/>
                  </w:pPr>
                  <w:r>
                    <w:rPr>
                      <w:rFonts w:hint="eastAsia"/>
                    </w:rPr>
                    <w:t>+</w:t>
                  </w:r>
                  <w:r>
                    <w:t xml:space="preserve">0.0122 </w:t>
                  </w:r>
                </w:p>
              </w:tc>
            </w:tr>
            <w:tr w14:paraId="083AF2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61" w:type="dxa"/>
                  <w:vMerge w:val="continue"/>
                  <w:tcBorders>
                    <w:top w:val="single" w:color="auto" w:sz="4" w:space="0"/>
                    <w:left w:val="nil"/>
                    <w:bottom w:val="single" w:color="auto" w:sz="4" w:space="0"/>
                    <w:right w:val="single" w:color="auto" w:sz="4" w:space="0"/>
                  </w:tcBorders>
                  <w:vAlign w:val="center"/>
                </w:tcPr>
                <w:p w14:paraId="731555F6">
                  <w:pPr>
                    <w:pStyle w:val="86"/>
                    <w:rPr>
                      <w:szCs w:val="21"/>
                    </w:rPr>
                  </w:pPr>
                </w:p>
              </w:tc>
              <w:tc>
                <w:tcPr>
                  <w:tcW w:w="1169" w:type="dxa"/>
                  <w:tcBorders>
                    <w:top w:val="single" w:color="auto" w:sz="4" w:space="0"/>
                    <w:left w:val="single" w:color="auto" w:sz="4" w:space="0"/>
                    <w:bottom w:val="single" w:color="auto" w:sz="4" w:space="0"/>
                    <w:right w:val="single" w:color="auto" w:sz="4" w:space="0"/>
                  </w:tcBorders>
                  <w:vAlign w:val="center"/>
                </w:tcPr>
                <w:p w14:paraId="148FB5F5">
                  <w:pPr>
                    <w:pStyle w:val="86"/>
                    <w:rPr>
                      <w:color w:val="000000"/>
                      <w:spacing w:val="-4"/>
                    </w:rPr>
                  </w:pPr>
                  <w:r>
                    <w:rPr>
                      <w:rFonts w:hint="eastAsia"/>
                      <w:color w:val="000000"/>
                      <w:spacing w:val="-4"/>
                    </w:rPr>
                    <w:t>S</w:t>
                  </w:r>
                  <w:r>
                    <w:rPr>
                      <w:color w:val="000000"/>
                      <w:spacing w:val="-4"/>
                    </w:rPr>
                    <w:t>S</w:t>
                  </w:r>
                </w:p>
              </w:tc>
              <w:tc>
                <w:tcPr>
                  <w:tcW w:w="1564" w:type="dxa"/>
                  <w:tcBorders>
                    <w:top w:val="single" w:color="auto" w:sz="4" w:space="0"/>
                    <w:left w:val="single" w:color="auto" w:sz="4" w:space="0"/>
                    <w:bottom w:val="single" w:color="auto" w:sz="4" w:space="0"/>
                    <w:right w:val="single" w:color="auto" w:sz="4" w:space="0"/>
                  </w:tcBorders>
                  <w:vAlign w:val="center"/>
                </w:tcPr>
                <w:p w14:paraId="68442795">
                  <w:pPr>
                    <w:pStyle w:val="86"/>
                  </w:pPr>
                  <w:r>
                    <w:t xml:space="preserve">0.0089 </w:t>
                  </w:r>
                </w:p>
              </w:tc>
              <w:tc>
                <w:tcPr>
                  <w:tcW w:w="1564" w:type="dxa"/>
                  <w:tcBorders>
                    <w:top w:val="single" w:color="auto" w:sz="4" w:space="0"/>
                    <w:left w:val="single" w:color="auto" w:sz="4" w:space="0"/>
                    <w:bottom w:val="single" w:color="auto" w:sz="4" w:space="0"/>
                    <w:right w:val="single" w:color="auto" w:sz="4" w:space="0"/>
                  </w:tcBorders>
                  <w:vAlign w:val="center"/>
                </w:tcPr>
                <w:p w14:paraId="19AF6615">
                  <w:pPr>
                    <w:pStyle w:val="86"/>
                  </w:pPr>
                  <w:r>
                    <w:rPr>
                      <w:rFonts w:hint="eastAsia"/>
                    </w:rPr>
                    <w:t>/</w:t>
                  </w:r>
                </w:p>
              </w:tc>
              <w:tc>
                <w:tcPr>
                  <w:tcW w:w="1217" w:type="dxa"/>
                  <w:tcBorders>
                    <w:top w:val="single" w:color="auto" w:sz="4" w:space="0"/>
                    <w:left w:val="single" w:color="auto" w:sz="4" w:space="0"/>
                    <w:bottom w:val="single" w:color="auto" w:sz="4" w:space="0"/>
                    <w:right w:val="single" w:color="auto" w:sz="4" w:space="0"/>
                  </w:tcBorders>
                  <w:vAlign w:val="center"/>
                </w:tcPr>
                <w:p w14:paraId="78EBFD21">
                  <w:pPr>
                    <w:pStyle w:val="86"/>
                  </w:pPr>
                  <w:r>
                    <w:t xml:space="preserve">0.0031 </w:t>
                  </w:r>
                </w:p>
              </w:tc>
              <w:tc>
                <w:tcPr>
                  <w:tcW w:w="1217" w:type="dxa"/>
                  <w:tcBorders>
                    <w:top w:val="single" w:color="auto" w:sz="4" w:space="0"/>
                    <w:left w:val="single" w:color="auto" w:sz="4" w:space="0"/>
                    <w:bottom w:val="single" w:color="auto" w:sz="4" w:space="0"/>
                    <w:right w:val="single" w:color="auto" w:sz="4" w:space="0"/>
                  </w:tcBorders>
                  <w:vAlign w:val="center"/>
                </w:tcPr>
                <w:p w14:paraId="105AE276">
                  <w:pPr>
                    <w:pStyle w:val="86"/>
                  </w:pPr>
                  <w:r>
                    <w:rPr>
                      <w:rFonts w:hint="eastAsia"/>
                    </w:rPr>
                    <w:t xml:space="preserve">0.0120 </w:t>
                  </w:r>
                </w:p>
              </w:tc>
              <w:tc>
                <w:tcPr>
                  <w:tcW w:w="1067" w:type="dxa"/>
                  <w:tcBorders>
                    <w:top w:val="single" w:color="auto" w:sz="4" w:space="0"/>
                    <w:left w:val="single" w:color="auto" w:sz="4" w:space="0"/>
                    <w:bottom w:val="single" w:color="auto" w:sz="4" w:space="0"/>
                    <w:right w:val="nil"/>
                  </w:tcBorders>
                  <w:vAlign w:val="center"/>
                </w:tcPr>
                <w:p w14:paraId="09AE8BEF">
                  <w:pPr>
                    <w:pStyle w:val="86"/>
                  </w:pPr>
                  <w:r>
                    <w:rPr>
                      <w:rFonts w:hint="eastAsia"/>
                    </w:rPr>
                    <w:t>+</w:t>
                  </w:r>
                  <w:r>
                    <w:t xml:space="preserve">0.0031 </w:t>
                  </w:r>
                </w:p>
              </w:tc>
            </w:tr>
            <w:tr w14:paraId="58C5F3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61" w:type="dxa"/>
                  <w:vMerge w:val="continue"/>
                  <w:tcBorders>
                    <w:top w:val="single" w:color="auto" w:sz="4" w:space="0"/>
                    <w:left w:val="nil"/>
                    <w:bottom w:val="single" w:color="auto" w:sz="4" w:space="0"/>
                    <w:right w:val="single" w:color="auto" w:sz="4" w:space="0"/>
                  </w:tcBorders>
                  <w:vAlign w:val="center"/>
                </w:tcPr>
                <w:p w14:paraId="022118EC">
                  <w:pPr>
                    <w:pStyle w:val="86"/>
                    <w:rPr>
                      <w:szCs w:val="21"/>
                    </w:rPr>
                  </w:pPr>
                </w:p>
              </w:tc>
              <w:tc>
                <w:tcPr>
                  <w:tcW w:w="1169" w:type="dxa"/>
                  <w:tcBorders>
                    <w:top w:val="single" w:color="auto" w:sz="4" w:space="0"/>
                    <w:left w:val="single" w:color="auto" w:sz="4" w:space="0"/>
                    <w:bottom w:val="single" w:color="auto" w:sz="4" w:space="0"/>
                    <w:right w:val="single" w:color="auto" w:sz="4" w:space="0"/>
                  </w:tcBorders>
                  <w:vAlign w:val="center"/>
                </w:tcPr>
                <w:p w14:paraId="4AC5D832">
                  <w:pPr>
                    <w:pStyle w:val="86"/>
                    <w:rPr>
                      <w:color w:val="000000"/>
                      <w:spacing w:val="-4"/>
                    </w:rPr>
                  </w:pPr>
                  <w:r>
                    <w:rPr>
                      <w:color w:val="000000"/>
                      <w:spacing w:val="-4"/>
                    </w:rPr>
                    <w:t>NH</w:t>
                  </w:r>
                  <w:r>
                    <w:rPr>
                      <w:color w:val="000000"/>
                      <w:spacing w:val="-4"/>
                      <w:vertAlign w:val="subscript"/>
                    </w:rPr>
                    <w:t>3</w:t>
                  </w:r>
                  <w:r>
                    <w:rPr>
                      <w:color w:val="000000"/>
                      <w:spacing w:val="-4"/>
                    </w:rPr>
                    <w:t>-N</w:t>
                  </w:r>
                </w:p>
              </w:tc>
              <w:tc>
                <w:tcPr>
                  <w:tcW w:w="1564" w:type="dxa"/>
                  <w:tcBorders>
                    <w:top w:val="single" w:color="auto" w:sz="4" w:space="0"/>
                    <w:left w:val="single" w:color="auto" w:sz="4" w:space="0"/>
                    <w:bottom w:val="single" w:color="auto" w:sz="4" w:space="0"/>
                    <w:right w:val="single" w:color="auto" w:sz="4" w:space="0"/>
                  </w:tcBorders>
                  <w:vAlign w:val="center"/>
                </w:tcPr>
                <w:p w14:paraId="2303D46E">
                  <w:pPr>
                    <w:pStyle w:val="86"/>
                  </w:pPr>
                  <w:r>
                    <w:t xml:space="preserve">0.0018 </w:t>
                  </w:r>
                </w:p>
              </w:tc>
              <w:tc>
                <w:tcPr>
                  <w:tcW w:w="1564" w:type="dxa"/>
                  <w:tcBorders>
                    <w:top w:val="single" w:color="auto" w:sz="4" w:space="0"/>
                    <w:left w:val="single" w:color="auto" w:sz="4" w:space="0"/>
                    <w:bottom w:val="single" w:color="auto" w:sz="4" w:space="0"/>
                    <w:right w:val="single" w:color="auto" w:sz="4" w:space="0"/>
                  </w:tcBorders>
                  <w:vAlign w:val="center"/>
                </w:tcPr>
                <w:p w14:paraId="64F93768">
                  <w:pPr>
                    <w:pStyle w:val="86"/>
                  </w:pPr>
                  <w:r>
                    <w:t>0.0202</w:t>
                  </w:r>
                </w:p>
              </w:tc>
              <w:tc>
                <w:tcPr>
                  <w:tcW w:w="1217" w:type="dxa"/>
                  <w:tcBorders>
                    <w:top w:val="single" w:color="auto" w:sz="4" w:space="0"/>
                    <w:left w:val="single" w:color="auto" w:sz="4" w:space="0"/>
                    <w:bottom w:val="single" w:color="auto" w:sz="4" w:space="0"/>
                    <w:right w:val="single" w:color="auto" w:sz="4" w:space="0"/>
                  </w:tcBorders>
                  <w:vAlign w:val="center"/>
                </w:tcPr>
                <w:p w14:paraId="47CF7A81">
                  <w:pPr>
                    <w:pStyle w:val="86"/>
                  </w:pPr>
                  <w:r>
                    <w:t xml:space="preserve">0.0006 </w:t>
                  </w:r>
                </w:p>
              </w:tc>
              <w:tc>
                <w:tcPr>
                  <w:tcW w:w="1217" w:type="dxa"/>
                  <w:tcBorders>
                    <w:top w:val="single" w:color="auto" w:sz="4" w:space="0"/>
                    <w:left w:val="single" w:color="auto" w:sz="4" w:space="0"/>
                    <w:bottom w:val="single" w:color="auto" w:sz="4" w:space="0"/>
                    <w:right w:val="single" w:color="auto" w:sz="4" w:space="0"/>
                  </w:tcBorders>
                  <w:vAlign w:val="center"/>
                </w:tcPr>
                <w:p w14:paraId="7D9B8C03">
                  <w:pPr>
                    <w:pStyle w:val="86"/>
                  </w:pPr>
                  <w:r>
                    <w:rPr>
                      <w:rFonts w:hint="eastAsia"/>
                    </w:rPr>
                    <w:t xml:space="preserve">0.0024 </w:t>
                  </w:r>
                </w:p>
              </w:tc>
              <w:tc>
                <w:tcPr>
                  <w:tcW w:w="1067" w:type="dxa"/>
                  <w:tcBorders>
                    <w:top w:val="single" w:color="auto" w:sz="4" w:space="0"/>
                    <w:left w:val="single" w:color="auto" w:sz="4" w:space="0"/>
                    <w:bottom w:val="single" w:color="auto" w:sz="4" w:space="0"/>
                    <w:right w:val="nil"/>
                  </w:tcBorders>
                  <w:vAlign w:val="center"/>
                </w:tcPr>
                <w:p w14:paraId="53575789">
                  <w:pPr>
                    <w:pStyle w:val="86"/>
                  </w:pPr>
                  <w:r>
                    <w:rPr>
                      <w:rFonts w:hint="eastAsia"/>
                    </w:rPr>
                    <w:t>+</w:t>
                  </w:r>
                  <w:r>
                    <w:t xml:space="preserve">0.0006 </w:t>
                  </w:r>
                </w:p>
              </w:tc>
            </w:tr>
            <w:tr w14:paraId="56836E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61" w:type="dxa"/>
                  <w:vMerge w:val="continue"/>
                  <w:tcBorders>
                    <w:top w:val="single" w:color="auto" w:sz="4" w:space="0"/>
                    <w:left w:val="nil"/>
                    <w:bottom w:val="single" w:color="auto" w:sz="4" w:space="0"/>
                    <w:right w:val="single" w:color="auto" w:sz="4" w:space="0"/>
                  </w:tcBorders>
                  <w:vAlign w:val="center"/>
                </w:tcPr>
                <w:p w14:paraId="587F2F39">
                  <w:pPr>
                    <w:pStyle w:val="86"/>
                    <w:rPr>
                      <w:szCs w:val="21"/>
                    </w:rPr>
                  </w:pPr>
                </w:p>
              </w:tc>
              <w:tc>
                <w:tcPr>
                  <w:tcW w:w="1169" w:type="dxa"/>
                  <w:tcBorders>
                    <w:top w:val="single" w:color="auto" w:sz="4" w:space="0"/>
                    <w:left w:val="single" w:color="auto" w:sz="4" w:space="0"/>
                    <w:bottom w:val="single" w:color="auto" w:sz="4" w:space="0"/>
                    <w:right w:val="single" w:color="auto" w:sz="4" w:space="0"/>
                  </w:tcBorders>
                  <w:vAlign w:val="center"/>
                </w:tcPr>
                <w:p w14:paraId="2243937F">
                  <w:pPr>
                    <w:pStyle w:val="86"/>
                  </w:pPr>
                  <w:r>
                    <w:rPr>
                      <w:color w:val="000000"/>
                      <w:spacing w:val="-4"/>
                    </w:rPr>
                    <w:t>TP</w:t>
                  </w:r>
                </w:p>
              </w:tc>
              <w:tc>
                <w:tcPr>
                  <w:tcW w:w="1564" w:type="dxa"/>
                  <w:tcBorders>
                    <w:top w:val="single" w:color="auto" w:sz="4" w:space="0"/>
                    <w:left w:val="single" w:color="auto" w:sz="4" w:space="0"/>
                    <w:bottom w:val="single" w:color="auto" w:sz="4" w:space="0"/>
                    <w:right w:val="single" w:color="auto" w:sz="4" w:space="0"/>
                  </w:tcBorders>
                  <w:vAlign w:val="center"/>
                </w:tcPr>
                <w:p w14:paraId="157E374C">
                  <w:pPr>
                    <w:pStyle w:val="86"/>
                    <w:rPr>
                      <w:kern w:val="2"/>
                    </w:rPr>
                  </w:pPr>
                  <w:r>
                    <w:t xml:space="preserve">0.0004 </w:t>
                  </w:r>
                </w:p>
              </w:tc>
              <w:tc>
                <w:tcPr>
                  <w:tcW w:w="1564" w:type="dxa"/>
                  <w:tcBorders>
                    <w:top w:val="single" w:color="auto" w:sz="4" w:space="0"/>
                    <w:left w:val="single" w:color="auto" w:sz="4" w:space="0"/>
                    <w:bottom w:val="single" w:color="auto" w:sz="4" w:space="0"/>
                    <w:right w:val="single" w:color="auto" w:sz="4" w:space="0"/>
                  </w:tcBorders>
                  <w:vAlign w:val="center"/>
                </w:tcPr>
                <w:p w14:paraId="261C0F04">
                  <w:pPr>
                    <w:pStyle w:val="86"/>
                  </w:pPr>
                  <w:r>
                    <w:t>0.0020</w:t>
                  </w:r>
                </w:p>
              </w:tc>
              <w:tc>
                <w:tcPr>
                  <w:tcW w:w="1217" w:type="dxa"/>
                  <w:tcBorders>
                    <w:top w:val="single" w:color="auto" w:sz="4" w:space="0"/>
                    <w:left w:val="single" w:color="auto" w:sz="4" w:space="0"/>
                    <w:bottom w:val="single" w:color="auto" w:sz="4" w:space="0"/>
                    <w:right w:val="single" w:color="auto" w:sz="4" w:space="0"/>
                  </w:tcBorders>
                  <w:vAlign w:val="center"/>
                </w:tcPr>
                <w:p w14:paraId="1D78CCF8">
                  <w:pPr>
                    <w:pStyle w:val="86"/>
                  </w:pPr>
                  <w:r>
                    <w:t xml:space="preserve">0.0001 </w:t>
                  </w:r>
                </w:p>
              </w:tc>
              <w:tc>
                <w:tcPr>
                  <w:tcW w:w="1217" w:type="dxa"/>
                  <w:tcBorders>
                    <w:top w:val="single" w:color="auto" w:sz="4" w:space="0"/>
                    <w:left w:val="single" w:color="auto" w:sz="4" w:space="0"/>
                    <w:bottom w:val="single" w:color="auto" w:sz="4" w:space="0"/>
                    <w:right w:val="single" w:color="auto" w:sz="4" w:space="0"/>
                  </w:tcBorders>
                  <w:vAlign w:val="center"/>
                </w:tcPr>
                <w:p w14:paraId="3E5C08A1">
                  <w:pPr>
                    <w:pStyle w:val="86"/>
                  </w:pPr>
                  <w:r>
                    <w:rPr>
                      <w:rFonts w:hint="eastAsia"/>
                    </w:rPr>
                    <w:t xml:space="preserve">0.0005 </w:t>
                  </w:r>
                </w:p>
              </w:tc>
              <w:tc>
                <w:tcPr>
                  <w:tcW w:w="1067" w:type="dxa"/>
                  <w:tcBorders>
                    <w:top w:val="single" w:color="auto" w:sz="4" w:space="0"/>
                    <w:left w:val="single" w:color="auto" w:sz="4" w:space="0"/>
                    <w:bottom w:val="single" w:color="auto" w:sz="4" w:space="0"/>
                    <w:right w:val="nil"/>
                  </w:tcBorders>
                  <w:vAlign w:val="center"/>
                </w:tcPr>
                <w:p w14:paraId="6BC3EDB7">
                  <w:pPr>
                    <w:pStyle w:val="86"/>
                  </w:pPr>
                  <w:r>
                    <w:rPr>
                      <w:rFonts w:hint="eastAsia"/>
                    </w:rPr>
                    <w:t>+</w:t>
                  </w:r>
                  <w:r>
                    <w:t xml:space="preserve">0.0001 </w:t>
                  </w:r>
                </w:p>
              </w:tc>
            </w:tr>
            <w:tr w14:paraId="286285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761" w:type="dxa"/>
                  <w:vMerge w:val="continue"/>
                  <w:tcBorders>
                    <w:top w:val="single" w:color="auto" w:sz="4" w:space="0"/>
                    <w:left w:val="nil"/>
                    <w:bottom w:val="single" w:color="auto" w:sz="4" w:space="0"/>
                    <w:right w:val="single" w:color="auto" w:sz="4" w:space="0"/>
                  </w:tcBorders>
                  <w:vAlign w:val="center"/>
                </w:tcPr>
                <w:p w14:paraId="0B34245C">
                  <w:pPr>
                    <w:pStyle w:val="86"/>
                    <w:rPr>
                      <w:szCs w:val="21"/>
                    </w:rPr>
                  </w:pPr>
                </w:p>
              </w:tc>
              <w:tc>
                <w:tcPr>
                  <w:tcW w:w="1169" w:type="dxa"/>
                  <w:tcBorders>
                    <w:top w:val="single" w:color="auto" w:sz="4" w:space="0"/>
                    <w:left w:val="single" w:color="auto" w:sz="4" w:space="0"/>
                    <w:bottom w:val="single" w:color="auto" w:sz="4" w:space="0"/>
                    <w:right w:val="single" w:color="auto" w:sz="4" w:space="0"/>
                  </w:tcBorders>
                  <w:vAlign w:val="center"/>
                </w:tcPr>
                <w:p w14:paraId="6A63A5CD">
                  <w:pPr>
                    <w:pStyle w:val="86"/>
                  </w:pPr>
                  <w:r>
                    <w:rPr>
                      <w:color w:val="000000"/>
                      <w:spacing w:val="-4"/>
                    </w:rPr>
                    <w:t>TN</w:t>
                  </w:r>
                </w:p>
              </w:tc>
              <w:tc>
                <w:tcPr>
                  <w:tcW w:w="1564" w:type="dxa"/>
                  <w:tcBorders>
                    <w:top w:val="single" w:color="auto" w:sz="4" w:space="0"/>
                    <w:left w:val="single" w:color="auto" w:sz="4" w:space="0"/>
                    <w:bottom w:val="single" w:color="auto" w:sz="4" w:space="0"/>
                    <w:right w:val="single" w:color="auto" w:sz="4" w:space="0"/>
                  </w:tcBorders>
                  <w:vAlign w:val="center"/>
                </w:tcPr>
                <w:p w14:paraId="0BDC9526">
                  <w:pPr>
                    <w:pStyle w:val="86"/>
                    <w:rPr>
                      <w:kern w:val="2"/>
                    </w:rPr>
                  </w:pPr>
                  <w:r>
                    <w:t>0.0133</w:t>
                  </w:r>
                </w:p>
              </w:tc>
              <w:tc>
                <w:tcPr>
                  <w:tcW w:w="1564" w:type="dxa"/>
                  <w:tcBorders>
                    <w:top w:val="single" w:color="auto" w:sz="4" w:space="0"/>
                    <w:left w:val="single" w:color="auto" w:sz="4" w:space="0"/>
                    <w:bottom w:val="single" w:color="auto" w:sz="4" w:space="0"/>
                    <w:right w:val="single" w:color="auto" w:sz="4" w:space="0"/>
                  </w:tcBorders>
                  <w:vAlign w:val="center"/>
                </w:tcPr>
                <w:p w14:paraId="285286F5">
                  <w:pPr>
                    <w:pStyle w:val="86"/>
                  </w:pPr>
                  <w:r>
                    <w:t>/</w:t>
                  </w:r>
                </w:p>
              </w:tc>
              <w:tc>
                <w:tcPr>
                  <w:tcW w:w="1217" w:type="dxa"/>
                  <w:tcBorders>
                    <w:top w:val="single" w:color="auto" w:sz="4" w:space="0"/>
                    <w:left w:val="single" w:color="auto" w:sz="4" w:space="0"/>
                    <w:bottom w:val="single" w:color="auto" w:sz="4" w:space="0"/>
                    <w:right w:val="single" w:color="auto" w:sz="4" w:space="0"/>
                  </w:tcBorders>
                  <w:vAlign w:val="center"/>
                </w:tcPr>
                <w:p w14:paraId="011028AB">
                  <w:pPr>
                    <w:pStyle w:val="86"/>
                  </w:pPr>
                  <w:r>
                    <w:t xml:space="preserve">0.0046 </w:t>
                  </w:r>
                </w:p>
              </w:tc>
              <w:tc>
                <w:tcPr>
                  <w:tcW w:w="1217" w:type="dxa"/>
                  <w:tcBorders>
                    <w:top w:val="single" w:color="auto" w:sz="4" w:space="0"/>
                    <w:left w:val="single" w:color="auto" w:sz="4" w:space="0"/>
                    <w:bottom w:val="single" w:color="auto" w:sz="4" w:space="0"/>
                    <w:right w:val="single" w:color="auto" w:sz="4" w:space="0"/>
                  </w:tcBorders>
                  <w:vAlign w:val="center"/>
                </w:tcPr>
                <w:p w14:paraId="63F4DC6B">
                  <w:pPr>
                    <w:pStyle w:val="86"/>
                  </w:pPr>
                  <w:r>
                    <w:t>0.0179</w:t>
                  </w:r>
                </w:p>
              </w:tc>
              <w:tc>
                <w:tcPr>
                  <w:tcW w:w="1067" w:type="dxa"/>
                  <w:tcBorders>
                    <w:top w:val="single" w:color="auto" w:sz="4" w:space="0"/>
                    <w:left w:val="single" w:color="auto" w:sz="4" w:space="0"/>
                    <w:bottom w:val="single" w:color="auto" w:sz="4" w:space="0"/>
                    <w:right w:val="nil"/>
                  </w:tcBorders>
                  <w:vAlign w:val="center"/>
                </w:tcPr>
                <w:p w14:paraId="43B8ECD5">
                  <w:pPr>
                    <w:pStyle w:val="86"/>
                  </w:pPr>
                  <w:r>
                    <w:rPr>
                      <w:rFonts w:hint="eastAsia"/>
                    </w:rPr>
                    <w:t>+</w:t>
                  </w:r>
                  <w:r>
                    <w:t xml:space="preserve">0.0046 </w:t>
                  </w:r>
                </w:p>
              </w:tc>
            </w:tr>
            <w:tr w14:paraId="37FA3A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559" w:type="dxa"/>
                  <w:gridSpan w:val="7"/>
                  <w:tcBorders>
                    <w:top w:val="single" w:color="auto" w:sz="4" w:space="0"/>
                    <w:left w:val="nil"/>
                    <w:bottom w:val="single" w:color="auto" w:sz="4" w:space="0"/>
                    <w:right w:val="single" w:color="auto" w:sz="4" w:space="0"/>
                  </w:tcBorders>
                  <w:vAlign w:val="center"/>
                </w:tcPr>
                <w:p w14:paraId="5071C75E">
                  <w:pPr>
                    <w:pStyle w:val="86"/>
                    <w:ind w:firstLine="422" w:firstLineChars="200"/>
                    <w:jc w:val="both"/>
                    <w:rPr>
                      <w:b/>
                      <w:bCs w:val="0"/>
                      <w:color w:val="000000"/>
                      <w:szCs w:val="21"/>
                    </w:rPr>
                  </w:pPr>
                  <w:r>
                    <w:rPr>
                      <w:rFonts w:hint="eastAsia"/>
                      <w:b/>
                      <w:bCs w:val="0"/>
                      <w:color w:val="000000"/>
                      <w:szCs w:val="21"/>
                    </w:rPr>
                    <w:t>注：表内排放量均为排入环境量。</w:t>
                  </w:r>
                </w:p>
              </w:tc>
            </w:tr>
          </w:tbl>
          <w:p w14:paraId="5408F8E9">
            <w:pPr>
              <w:spacing w:line="460" w:lineRule="exact"/>
              <w:ind w:firstLine="482" w:firstLineChars="200"/>
              <w:rPr>
                <w:b/>
                <w:bCs/>
                <w:color w:val="000000"/>
                <w:sz w:val="24"/>
              </w:rPr>
            </w:pPr>
            <w:r>
              <w:rPr>
                <w:b/>
                <w:bCs/>
                <w:color w:val="000000"/>
                <w:sz w:val="24"/>
              </w:rPr>
              <w:t>6</w:t>
            </w:r>
            <w:r>
              <w:rPr>
                <w:rFonts w:ascii="宋体" w:hAnsi="宋体"/>
                <w:b/>
                <w:bCs/>
                <w:color w:val="000000"/>
                <w:sz w:val="24"/>
              </w:rPr>
              <w:t>、监测要求</w:t>
            </w:r>
          </w:p>
          <w:p w14:paraId="7741EC84">
            <w:pPr>
              <w:pStyle w:val="28"/>
              <w:ind w:firstLine="480"/>
            </w:pPr>
            <w:r>
              <w:rPr>
                <w:rFonts w:hint="eastAsia"/>
              </w:rPr>
              <w:t>参照《排污单位自行监测技术指南 橡胶和塑料制品》（HJ1207-2021）</w:t>
            </w:r>
            <w:r>
              <w:t>规定，</w:t>
            </w:r>
            <w:r>
              <w:rPr>
                <w:rFonts w:hint="eastAsia"/>
              </w:rPr>
              <w:t>评价提出项目在生产运行阶段的污染源监测计划，具体监测计划见下表</w:t>
            </w:r>
            <w:r>
              <w:t>。</w:t>
            </w:r>
          </w:p>
          <w:p w14:paraId="655619E8">
            <w:pPr>
              <w:pStyle w:val="67"/>
              <w:ind w:firstLine="480"/>
            </w:pPr>
            <w:r>
              <w:t xml:space="preserve">                   </w:t>
            </w:r>
            <w:r>
              <w:rPr>
                <w:rFonts w:hint="eastAsia" w:ascii="黑体" w:hAnsi="黑体"/>
              </w:rPr>
              <w:t>污染源</w:t>
            </w:r>
            <w:r>
              <w:rPr>
                <w:rFonts w:ascii="黑体" w:hAnsi="黑体"/>
              </w:rPr>
              <w:t>自行监测</w:t>
            </w:r>
            <w:r>
              <w:rPr>
                <w:rFonts w:hint="eastAsia" w:ascii="黑体" w:hAnsi="黑体"/>
              </w:rPr>
              <w:t>计划表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3003"/>
              <w:gridCol w:w="1168"/>
              <w:gridCol w:w="1237"/>
              <w:gridCol w:w="3151"/>
            </w:tblGrid>
            <w:tr w14:paraId="6ADC41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3003" w:type="dxa"/>
                  <w:tcBorders>
                    <w:top w:val="single" w:color="auto" w:sz="8" w:space="0"/>
                    <w:left w:val="nil"/>
                    <w:bottom w:val="single" w:color="auto" w:sz="4" w:space="0"/>
                    <w:right w:val="single" w:color="auto" w:sz="4" w:space="0"/>
                  </w:tcBorders>
                  <w:tcMar>
                    <w:top w:w="0" w:type="dxa"/>
                    <w:left w:w="28" w:type="dxa"/>
                    <w:bottom w:w="0" w:type="dxa"/>
                    <w:right w:w="28" w:type="dxa"/>
                  </w:tcMar>
                  <w:vAlign w:val="center"/>
                </w:tcPr>
                <w:p w14:paraId="332CC388">
                  <w:pPr>
                    <w:pStyle w:val="86"/>
                    <w:rPr>
                      <w:b/>
                      <w:bCs w:val="0"/>
                      <w:szCs w:val="21"/>
                    </w:rPr>
                  </w:pPr>
                  <w:r>
                    <w:rPr>
                      <w:b/>
                      <w:bCs w:val="0"/>
                    </w:rPr>
                    <w:t>监测指标</w:t>
                  </w:r>
                </w:p>
              </w:tc>
              <w:tc>
                <w:tcPr>
                  <w:tcW w:w="11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756019C">
                  <w:pPr>
                    <w:pStyle w:val="86"/>
                    <w:rPr>
                      <w:b/>
                      <w:bCs w:val="0"/>
                    </w:rPr>
                  </w:pPr>
                  <w:r>
                    <w:rPr>
                      <w:b/>
                      <w:bCs w:val="0"/>
                    </w:rPr>
                    <w:t>监测点位</w:t>
                  </w:r>
                </w:p>
              </w:tc>
              <w:tc>
                <w:tcPr>
                  <w:tcW w:w="123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988A946">
                  <w:pPr>
                    <w:pStyle w:val="86"/>
                    <w:rPr>
                      <w:b/>
                      <w:bCs w:val="0"/>
                    </w:rPr>
                  </w:pPr>
                  <w:r>
                    <w:rPr>
                      <w:b/>
                      <w:bCs w:val="0"/>
                    </w:rPr>
                    <w:t>监测频次</w:t>
                  </w:r>
                </w:p>
              </w:tc>
              <w:tc>
                <w:tcPr>
                  <w:tcW w:w="3151" w:type="dxa"/>
                  <w:tcBorders>
                    <w:top w:val="single" w:color="auto" w:sz="8" w:space="0"/>
                    <w:left w:val="single" w:color="auto" w:sz="4" w:space="0"/>
                    <w:bottom w:val="single" w:color="auto" w:sz="4" w:space="0"/>
                    <w:right w:val="nil"/>
                  </w:tcBorders>
                  <w:tcMar>
                    <w:top w:w="0" w:type="dxa"/>
                    <w:left w:w="28" w:type="dxa"/>
                    <w:bottom w:w="0" w:type="dxa"/>
                    <w:right w:w="28" w:type="dxa"/>
                  </w:tcMar>
                  <w:vAlign w:val="center"/>
                </w:tcPr>
                <w:p w14:paraId="2AD28F9D">
                  <w:pPr>
                    <w:pStyle w:val="86"/>
                    <w:rPr>
                      <w:b/>
                      <w:bCs w:val="0"/>
                    </w:rPr>
                  </w:pPr>
                  <w:r>
                    <w:rPr>
                      <w:b/>
                      <w:bCs w:val="0"/>
                    </w:rPr>
                    <w:t>执行排放标准</w:t>
                  </w:r>
                </w:p>
              </w:tc>
            </w:tr>
            <w:tr w14:paraId="56356F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3003" w:type="dxa"/>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1ED5C937">
                  <w:pPr>
                    <w:pStyle w:val="86"/>
                    <w:rPr>
                      <w:kern w:val="2"/>
                    </w:rPr>
                  </w:pPr>
                  <w:r>
                    <w:rPr>
                      <w:rFonts w:hint="eastAsia"/>
                      <w:kern w:val="2"/>
                    </w:rPr>
                    <w:t>pH、</w:t>
                  </w:r>
                  <w:r>
                    <w:rPr>
                      <w:rFonts w:hint="eastAsia"/>
                    </w:rPr>
                    <w:t>TP、</w:t>
                  </w:r>
                  <w:r>
                    <w:t>COD</w:t>
                  </w:r>
                  <w:r>
                    <w:rPr>
                      <w:rFonts w:hint="eastAsia"/>
                    </w:rPr>
                    <w:t>、NH</w:t>
                  </w:r>
                  <w:r>
                    <w:rPr>
                      <w:rFonts w:hint="eastAsia"/>
                      <w:vertAlign w:val="subscript"/>
                    </w:rPr>
                    <w:t>3</w:t>
                  </w:r>
                  <w:r>
                    <w:rPr>
                      <w:rFonts w:hint="eastAsia"/>
                    </w:rPr>
                    <w:t>-N、</w:t>
                  </w:r>
                  <w:r>
                    <w:rPr>
                      <w:rFonts w:hint="eastAsia"/>
                      <w:kern w:val="2"/>
                    </w:rPr>
                    <w:t>TN、SS、</w:t>
                  </w:r>
                  <w:r>
                    <w:rPr>
                      <w:rFonts w:hint="eastAsia"/>
                    </w:rPr>
                    <w:t>流量</w:t>
                  </w:r>
                </w:p>
              </w:tc>
              <w:tc>
                <w:tcPr>
                  <w:tcW w:w="116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A95182D">
                  <w:pPr>
                    <w:pStyle w:val="86"/>
                  </w:pPr>
                  <w:r>
                    <w:rPr>
                      <w:rFonts w:hint="eastAsia"/>
                    </w:rPr>
                    <w:t>废水总排口</w:t>
                  </w:r>
                </w:p>
              </w:tc>
              <w:tc>
                <w:tcPr>
                  <w:tcW w:w="123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4CD3DFB">
                  <w:pPr>
                    <w:pStyle w:val="86"/>
                  </w:pPr>
                  <w:r>
                    <w:rPr>
                      <w:rFonts w:hint="eastAsia"/>
                    </w:rPr>
                    <w:t>1次/年</w:t>
                  </w:r>
                </w:p>
              </w:tc>
              <w:tc>
                <w:tcPr>
                  <w:tcW w:w="3151"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20CF928A">
                  <w:pPr>
                    <w:pStyle w:val="86"/>
                  </w:pPr>
                  <w:r>
                    <w:rPr>
                      <w:rFonts w:hint="eastAsia"/>
                    </w:rPr>
                    <w:t>获嘉县香山家园污水处理厂收水标准、</w:t>
                  </w:r>
                  <w:r>
                    <w:t>《污水综合排放标准》（GB8978-1996）</w:t>
                  </w:r>
                </w:p>
              </w:tc>
            </w:tr>
          </w:tbl>
          <w:p w14:paraId="5E6E2583">
            <w:pPr>
              <w:pStyle w:val="28"/>
              <w:ind w:firstLine="482"/>
              <w:rPr>
                <w:b/>
                <w:bCs/>
              </w:rPr>
            </w:pPr>
            <w:r>
              <w:rPr>
                <w:b/>
                <w:bCs/>
              </w:rPr>
              <w:t>7</w:t>
            </w:r>
            <w:r>
              <w:rPr>
                <w:rFonts w:hint="eastAsia"/>
                <w:b/>
                <w:bCs/>
              </w:rPr>
              <w:t>、废水污染治理设施可行性分析</w:t>
            </w:r>
          </w:p>
          <w:p w14:paraId="48AFB0F9">
            <w:pPr>
              <w:pStyle w:val="28"/>
              <w:ind w:firstLine="480"/>
            </w:pPr>
            <w:r>
              <w:rPr>
                <w:rFonts w:hint="eastAsia"/>
              </w:rPr>
              <w:t>本项目拟建一体化污水处理站，采用工艺为“调节池+混凝沉淀+清水回用”。本项目进入一体化污水处理站生产废水主要是清洗废水。清洗废水在混凝沉淀工序投加PAC和PAM去除水中悬浮物，污水处理站回用水水质满足《城市污水再生利用 工业用水水质》（GB/T 19923-2005）中回用于洗涤用水标准要求；厂区废水排放口废水各项水质满足获嘉县香山家园污水处理厂收水标准、《污水综合排放标准》（GB8978-1996）表4三级标准要求，达标排放，因此本项目污水处理站采用的工艺可行，本项目废水利用该污水处理站处理的措施可行。</w:t>
            </w:r>
          </w:p>
          <w:p w14:paraId="3FEB2C2B">
            <w:pPr>
              <w:spacing w:line="460" w:lineRule="exact"/>
              <w:ind w:firstLine="482" w:firstLineChars="200"/>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三、噪声</w:t>
            </w:r>
          </w:p>
          <w:p w14:paraId="3C0A5074">
            <w:pPr>
              <w:spacing w:line="460" w:lineRule="exact"/>
              <w:ind w:firstLine="482" w:firstLineChars="200"/>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1、噪声源情况</w:t>
            </w:r>
          </w:p>
          <w:p w14:paraId="72BD3C04">
            <w:pPr>
              <w:pStyle w:val="28"/>
              <w:ind w:firstLine="480"/>
              <w:rPr>
                <w:lang w:val="zh-CN"/>
              </w:rPr>
            </w:pPr>
            <w:r>
              <w:rPr>
                <w:lang w:val="zh-CN"/>
              </w:rPr>
              <w:t>该项目高噪声设备主要为</w:t>
            </w:r>
            <w:r>
              <w:rPr>
                <w:rFonts w:hint="eastAsia"/>
                <w:lang w:val="zh-CN"/>
              </w:rPr>
              <w:t>粉碎机、清洗机、TA002风机</w:t>
            </w:r>
            <w:r>
              <w:rPr>
                <w:lang w:val="zh-CN"/>
              </w:rPr>
              <w:t>等</w:t>
            </w:r>
            <w:r>
              <w:rPr>
                <w:rFonts w:hint="eastAsia"/>
                <w:lang w:val="zh-CN"/>
              </w:rPr>
              <w:t>设备</w:t>
            </w:r>
            <w:r>
              <w:rPr>
                <w:lang w:val="zh-CN"/>
              </w:rPr>
              <w:t>，声源强度在75-85dB(A)之间，声源强度及治理效果见</w:t>
            </w:r>
            <w:r>
              <w:rPr>
                <w:rFonts w:hint="eastAsia"/>
                <w:lang w:val="zh-CN"/>
              </w:rPr>
              <w:t>下</w:t>
            </w:r>
            <w:r>
              <w:rPr>
                <w:lang w:val="zh-CN"/>
              </w:rPr>
              <w:t>表。</w:t>
            </w:r>
          </w:p>
          <w:p w14:paraId="3C8D852D">
            <w:pPr>
              <w:pStyle w:val="28"/>
              <w:ind w:firstLine="480"/>
              <w:rPr>
                <w:lang w:val="zh-CN"/>
              </w:rPr>
            </w:pPr>
          </w:p>
        </w:tc>
      </w:tr>
    </w:tbl>
    <w:p w14:paraId="253CDC47">
      <w:pPr>
        <w:pStyle w:val="15"/>
        <w:outlineLvl w:val="0"/>
        <w:rPr>
          <w:rFonts w:ascii="Times New Roman" w:hAnsi="Times New Roman"/>
          <w:color w:val="000000" w:themeColor="text1"/>
          <w:kern w:val="2"/>
          <w:sz w:val="21"/>
          <w:szCs w:val="21"/>
          <w14:textFill>
            <w14:solidFill>
              <w14:schemeClr w14:val="tx1"/>
            </w14:solidFill>
          </w14:textFill>
        </w:rPr>
        <w:sectPr>
          <w:pgSz w:w="11907" w:h="16840"/>
          <w:pgMar w:top="1701" w:right="1531" w:bottom="1985" w:left="1531" w:header="851" w:footer="851" w:gutter="0"/>
          <w:cols w:space="720" w:num="1"/>
          <w:docGrid w:linePitch="312" w:charSpace="0"/>
        </w:sectPr>
      </w:pPr>
    </w:p>
    <w:tbl>
      <w:tblPr>
        <w:tblStyle w:val="21"/>
        <w:tblW w:w="132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2247"/>
      </w:tblGrid>
      <w:tr w14:paraId="499DC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tcBorders>
              <w:tl2br w:val="nil"/>
              <w:tr2bl w:val="nil"/>
            </w:tcBorders>
            <w:vAlign w:val="center"/>
          </w:tcPr>
          <w:p w14:paraId="484A9F09">
            <w:pPr>
              <w:pStyle w:val="15"/>
              <w:spacing w:before="0" w:beforeAutospacing="0" w:after="0" w:afterAutospacing="0"/>
              <w:jc w:val="center"/>
              <w:rPr>
                <w:rFonts w:ascii="Times New Roman" w:hAnsi="Times New Roman"/>
                <w:kern w:val="2"/>
                <w:szCs w:val="24"/>
              </w:rPr>
            </w:pPr>
            <w:r>
              <w:rPr>
                <w:rFonts w:ascii="Times New Roman" w:hAnsi="Times New Roman"/>
                <w:kern w:val="2"/>
                <w:szCs w:val="24"/>
              </w:rPr>
              <w:t>运营期环境影响和保护措施</w:t>
            </w:r>
          </w:p>
        </w:tc>
        <w:tc>
          <w:tcPr>
            <w:tcW w:w="12247" w:type="dxa"/>
            <w:tcBorders>
              <w:tl2br w:val="nil"/>
              <w:tr2bl w:val="nil"/>
            </w:tcBorders>
          </w:tcPr>
          <w:p w14:paraId="71C3F788">
            <w:pPr>
              <w:pStyle w:val="67"/>
              <w:ind w:firstLine="480"/>
              <w:rPr>
                <w:lang w:val="zh-CN"/>
              </w:rPr>
            </w:pPr>
            <w:r>
              <w:rPr>
                <w:lang w:val="zh-CN"/>
              </w:rPr>
              <w:t xml:space="preserve">           </w:t>
            </w:r>
            <w:r>
              <w:rPr>
                <w:rFonts w:hint="eastAsia"/>
                <w:lang w:val="zh-CN"/>
              </w:rPr>
              <w:t xml:space="preserve">          工业企业噪声源强调查清单（室内声源）</w:t>
            </w:r>
          </w:p>
          <w:tbl>
            <w:tblPr>
              <w:tblStyle w:val="20"/>
              <w:tblW w:w="4949"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0"/>
              <w:gridCol w:w="776"/>
              <w:gridCol w:w="851"/>
              <w:gridCol w:w="668"/>
              <w:gridCol w:w="645"/>
              <w:gridCol w:w="972"/>
              <w:gridCol w:w="470"/>
              <w:gridCol w:w="729"/>
              <w:gridCol w:w="469"/>
              <w:gridCol w:w="469"/>
              <w:gridCol w:w="414"/>
              <w:gridCol w:w="469"/>
              <w:gridCol w:w="643"/>
              <w:gridCol w:w="906"/>
              <w:gridCol w:w="618"/>
              <w:gridCol w:w="906"/>
              <w:gridCol w:w="906"/>
              <w:gridCol w:w="527"/>
            </w:tblGrid>
            <w:tr w14:paraId="511C2B6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74AFE3A3">
                  <w:pPr>
                    <w:pStyle w:val="15"/>
                    <w:jc w:val="center"/>
                    <w:rPr>
                      <w:rFonts w:hint="eastAsia"/>
                      <w:b/>
                      <w:kern w:val="2"/>
                      <w:szCs w:val="24"/>
                    </w:rPr>
                  </w:pPr>
                  <w:r>
                    <w:rPr>
                      <w:rFonts w:hint="eastAsia"/>
                      <w:b/>
                      <w:sz w:val="21"/>
                      <w:szCs w:val="21"/>
                    </w:rPr>
                    <w:t>序号</w:t>
                  </w:r>
                </w:p>
              </w:tc>
              <w:tc>
                <w:tcPr>
                  <w:tcW w:w="776" w:type="dxa"/>
                  <w:vMerge w:val="restart"/>
                  <w:vAlign w:val="center"/>
                </w:tcPr>
                <w:p w14:paraId="1ABCDC07">
                  <w:pPr>
                    <w:pStyle w:val="15"/>
                    <w:jc w:val="center"/>
                    <w:rPr>
                      <w:rFonts w:hint="eastAsia"/>
                      <w:b/>
                    </w:rPr>
                  </w:pPr>
                  <w:r>
                    <w:rPr>
                      <w:rFonts w:hint="eastAsia"/>
                      <w:b/>
                      <w:sz w:val="21"/>
                      <w:szCs w:val="21"/>
                    </w:rPr>
                    <w:t>建筑物名称</w:t>
                  </w:r>
                </w:p>
              </w:tc>
              <w:tc>
                <w:tcPr>
                  <w:tcW w:w="851" w:type="dxa"/>
                  <w:vMerge w:val="restart"/>
                  <w:vAlign w:val="center"/>
                </w:tcPr>
                <w:p w14:paraId="5A51BD1A">
                  <w:pPr>
                    <w:pStyle w:val="15"/>
                    <w:jc w:val="center"/>
                    <w:rPr>
                      <w:rFonts w:hint="eastAsia"/>
                      <w:b/>
                    </w:rPr>
                  </w:pPr>
                  <w:r>
                    <w:rPr>
                      <w:rFonts w:hint="eastAsia"/>
                      <w:b/>
                      <w:sz w:val="21"/>
                      <w:szCs w:val="21"/>
                    </w:rPr>
                    <w:t>声源名称</w:t>
                  </w:r>
                </w:p>
              </w:tc>
              <w:tc>
                <w:tcPr>
                  <w:tcW w:w="668" w:type="dxa"/>
                  <w:vMerge w:val="restart"/>
                  <w:vAlign w:val="center"/>
                </w:tcPr>
                <w:p w14:paraId="0CD07001">
                  <w:pPr>
                    <w:pStyle w:val="15"/>
                    <w:jc w:val="center"/>
                    <w:rPr>
                      <w:rFonts w:hint="eastAsia"/>
                      <w:b/>
                    </w:rPr>
                  </w:pPr>
                  <w:r>
                    <w:rPr>
                      <w:rFonts w:hint="eastAsia"/>
                      <w:b/>
                      <w:sz w:val="21"/>
                      <w:szCs w:val="21"/>
                    </w:rPr>
                    <w:t>型号</w:t>
                  </w:r>
                </w:p>
              </w:tc>
              <w:tc>
                <w:tcPr>
                  <w:tcW w:w="1617" w:type="dxa"/>
                  <w:gridSpan w:val="2"/>
                  <w:vMerge w:val="restart"/>
                  <w:vAlign w:val="center"/>
                </w:tcPr>
                <w:p w14:paraId="33659CDF">
                  <w:pPr>
                    <w:pStyle w:val="15"/>
                    <w:jc w:val="center"/>
                    <w:rPr>
                      <w:rFonts w:hint="eastAsia"/>
                      <w:b/>
                    </w:rPr>
                  </w:pPr>
                  <w:r>
                    <w:rPr>
                      <w:rFonts w:ascii="Times New Roman" w:hAnsi="Times New Roman"/>
                      <w:b/>
                      <w:sz w:val="21"/>
                      <w:szCs w:val="21"/>
                    </w:rPr>
                    <w:t>(</w:t>
                  </w:r>
                  <w:r>
                    <w:rPr>
                      <w:rFonts w:hint="eastAsia"/>
                      <w:b/>
                      <w:sz w:val="21"/>
                      <w:szCs w:val="21"/>
                    </w:rPr>
                    <w:t>声压级</w:t>
                  </w:r>
                  <w:r>
                    <w:rPr>
                      <w:rFonts w:ascii="Times New Roman" w:hAnsi="Times New Roman"/>
                      <w:b/>
                      <w:sz w:val="21"/>
                      <w:szCs w:val="21"/>
                    </w:rPr>
                    <w:t>/</w:t>
                  </w:r>
                  <w:r>
                    <w:rPr>
                      <w:rFonts w:hint="eastAsia"/>
                      <w:b/>
                      <w:sz w:val="21"/>
                      <w:szCs w:val="21"/>
                    </w:rPr>
                    <w:t>距声源距离</w:t>
                  </w:r>
                  <w:r>
                    <w:rPr>
                      <w:rFonts w:ascii="Times New Roman" w:hAnsi="Times New Roman"/>
                      <w:b/>
                      <w:sz w:val="21"/>
                      <w:szCs w:val="21"/>
                    </w:rPr>
                    <w:t>)/([dB(A)]/m)</w:t>
                  </w:r>
                </w:p>
              </w:tc>
              <w:tc>
                <w:tcPr>
                  <w:tcW w:w="470" w:type="dxa"/>
                  <w:vMerge w:val="restart"/>
                  <w:vAlign w:val="center"/>
                </w:tcPr>
                <w:p w14:paraId="5C3FEDED">
                  <w:pPr>
                    <w:pStyle w:val="15"/>
                    <w:jc w:val="center"/>
                    <w:rPr>
                      <w:rFonts w:hint="eastAsia"/>
                      <w:b/>
                    </w:rPr>
                  </w:pPr>
                  <w:r>
                    <w:rPr>
                      <w:rFonts w:hint="eastAsia"/>
                      <w:b/>
                      <w:sz w:val="21"/>
                      <w:szCs w:val="21"/>
                    </w:rPr>
                    <w:t>声功率级</w:t>
                  </w:r>
                </w:p>
              </w:tc>
              <w:tc>
                <w:tcPr>
                  <w:tcW w:w="729" w:type="dxa"/>
                  <w:vMerge w:val="restart"/>
                  <w:vAlign w:val="center"/>
                </w:tcPr>
                <w:p w14:paraId="1B9791EA">
                  <w:pPr>
                    <w:pStyle w:val="15"/>
                    <w:jc w:val="center"/>
                    <w:rPr>
                      <w:rFonts w:hint="eastAsia"/>
                      <w:b/>
                    </w:rPr>
                  </w:pPr>
                  <w:r>
                    <w:rPr>
                      <w:rFonts w:hint="eastAsia"/>
                      <w:b/>
                      <w:sz w:val="21"/>
                      <w:szCs w:val="21"/>
                    </w:rPr>
                    <w:t>声源控制措施</w:t>
                  </w:r>
                </w:p>
              </w:tc>
              <w:tc>
                <w:tcPr>
                  <w:tcW w:w="1352" w:type="dxa"/>
                  <w:gridSpan w:val="3"/>
                  <w:vAlign w:val="center"/>
                </w:tcPr>
                <w:p w14:paraId="20C5784E">
                  <w:pPr>
                    <w:pStyle w:val="15"/>
                    <w:jc w:val="center"/>
                    <w:rPr>
                      <w:rFonts w:hint="eastAsia"/>
                      <w:b/>
                    </w:rPr>
                  </w:pPr>
                  <w:r>
                    <w:rPr>
                      <w:rFonts w:hint="eastAsia"/>
                      <w:b/>
                      <w:sz w:val="21"/>
                      <w:szCs w:val="21"/>
                    </w:rPr>
                    <w:t>空间相对位置</w:t>
                  </w:r>
                  <w:r>
                    <w:rPr>
                      <w:rFonts w:ascii="Times New Roman" w:hAnsi="Times New Roman"/>
                      <w:b/>
                      <w:sz w:val="21"/>
                      <w:szCs w:val="21"/>
                    </w:rPr>
                    <w:t>/m</w:t>
                  </w:r>
                </w:p>
              </w:tc>
              <w:tc>
                <w:tcPr>
                  <w:tcW w:w="1112" w:type="dxa"/>
                  <w:gridSpan w:val="2"/>
                  <w:vMerge w:val="restart"/>
                  <w:vAlign w:val="center"/>
                </w:tcPr>
                <w:p w14:paraId="52A507F3">
                  <w:pPr>
                    <w:pStyle w:val="15"/>
                    <w:jc w:val="center"/>
                    <w:rPr>
                      <w:rFonts w:hint="eastAsia"/>
                      <w:b/>
                    </w:rPr>
                  </w:pPr>
                  <w:r>
                    <w:rPr>
                      <w:rFonts w:hint="eastAsia"/>
                      <w:b/>
                      <w:sz w:val="21"/>
                      <w:szCs w:val="21"/>
                    </w:rPr>
                    <w:t>距室内边界距离</w:t>
                  </w:r>
                  <w:r>
                    <w:rPr>
                      <w:rFonts w:ascii="Times New Roman" w:hAnsi="Times New Roman"/>
                      <w:b/>
                      <w:sz w:val="21"/>
                      <w:szCs w:val="21"/>
                    </w:rPr>
                    <w:t>/m</w:t>
                  </w:r>
                </w:p>
              </w:tc>
              <w:tc>
                <w:tcPr>
                  <w:tcW w:w="906" w:type="dxa"/>
                  <w:vMerge w:val="restart"/>
                  <w:vAlign w:val="center"/>
                </w:tcPr>
                <w:p w14:paraId="202ED749">
                  <w:pPr>
                    <w:pStyle w:val="15"/>
                    <w:jc w:val="center"/>
                    <w:rPr>
                      <w:rFonts w:hint="eastAsia"/>
                      <w:b/>
                    </w:rPr>
                  </w:pPr>
                  <w:r>
                    <w:rPr>
                      <w:rFonts w:hint="eastAsia"/>
                      <w:b/>
                      <w:sz w:val="21"/>
                      <w:szCs w:val="21"/>
                    </w:rPr>
                    <w:t>室内边界声级</w:t>
                  </w:r>
                  <w:r>
                    <w:rPr>
                      <w:rFonts w:ascii="Times New Roman" w:hAnsi="Times New Roman"/>
                      <w:b/>
                      <w:sz w:val="21"/>
                      <w:szCs w:val="21"/>
                    </w:rPr>
                    <w:t>/dB(A)</w:t>
                  </w:r>
                </w:p>
              </w:tc>
              <w:tc>
                <w:tcPr>
                  <w:tcW w:w="618" w:type="dxa"/>
                  <w:vMerge w:val="restart"/>
                  <w:vAlign w:val="center"/>
                </w:tcPr>
                <w:p w14:paraId="4005D579">
                  <w:pPr>
                    <w:pStyle w:val="15"/>
                    <w:jc w:val="center"/>
                    <w:rPr>
                      <w:rFonts w:hint="eastAsia"/>
                      <w:b/>
                    </w:rPr>
                  </w:pPr>
                  <w:r>
                    <w:rPr>
                      <w:rFonts w:hint="eastAsia"/>
                      <w:b/>
                      <w:sz w:val="21"/>
                      <w:szCs w:val="21"/>
                    </w:rPr>
                    <w:t>运行时段</w:t>
                  </w:r>
                </w:p>
              </w:tc>
              <w:tc>
                <w:tcPr>
                  <w:tcW w:w="906" w:type="dxa"/>
                  <w:vMerge w:val="restart"/>
                  <w:vAlign w:val="center"/>
                </w:tcPr>
                <w:p w14:paraId="3ADB6783">
                  <w:pPr>
                    <w:pStyle w:val="15"/>
                    <w:jc w:val="center"/>
                    <w:rPr>
                      <w:rFonts w:hint="eastAsia"/>
                      <w:b/>
                    </w:rPr>
                  </w:pPr>
                  <w:r>
                    <w:rPr>
                      <w:rFonts w:hint="eastAsia"/>
                      <w:b/>
                      <w:sz w:val="21"/>
                      <w:szCs w:val="21"/>
                    </w:rPr>
                    <w:t>建筑物插入损失</w:t>
                  </w:r>
                  <w:r>
                    <w:rPr>
                      <w:rFonts w:ascii="Times New Roman" w:hAnsi="Times New Roman"/>
                      <w:b/>
                      <w:sz w:val="21"/>
                      <w:szCs w:val="21"/>
                    </w:rPr>
                    <w:t>/dB(A)</w:t>
                  </w:r>
                </w:p>
              </w:tc>
              <w:tc>
                <w:tcPr>
                  <w:tcW w:w="1433" w:type="dxa"/>
                  <w:gridSpan w:val="2"/>
                  <w:vAlign w:val="center"/>
                </w:tcPr>
                <w:p w14:paraId="0E1EDD4A">
                  <w:pPr>
                    <w:pStyle w:val="15"/>
                    <w:jc w:val="center"/>
                    <w:rPr>
                      <w:rFonts w:hint="eastAsia"/>
                      <w:b/>
                    </w:rPr>
                  </w:pPr>
                  <w:r>
                    <w:rPr>
                      <w:rFonts w:hint="eastAsia"/>
                      <w:b/>
                      <w:sz w:val="21"/>
                      <w:szCs w:val="21"/>
                    </w:rPr>
                    <w:t>建筑物外噪声</w:t>
                  </w:r>
                </w:p>
              </w:tc>
            </w:tr>
            <w:tr w14:paraId="7D69D49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40BA3895">
                  <w:pPr>
                    <w:widowControl/>
                    <w:jc w:val="left"/>
                    <w:rPr>
                      <w:rFonts w:ascii="Calibri" w:hAnsi="Calibri"/>
                      <w:b/>
                      <w:sz w:val="24"/>
                    </w:rPr>
                  </w:pPr>
                </w:p>
              </w:tc>
              <w:tc>
                <w:tcPr>
                  <w:tcW w:w="776" w:type="dxa"/>
                  <w:vMerge w:val="continue"/>
                  <w:vAlign w:val="center"/>
                </w:tcPr>
                <w:p w14:paraId="43197303">
                  <w:pPr>
                    <w:widowControl/>
                    <w:jc w:val="left"/>
                    <w:rPr>
                      <w:rFonts w:ascii="Calibri" w:hAnsi="Calibri"/>
                      <w:b/>
                      <w:sz w:val="24"/>
                    </w:rPr>
                  </w:pPr>
                </w:p>
              </w:tc>
              <w:tc>
                <w:tcPr>
                  <w:tcW w:w="851" w:type="dxa"/>
                  <w:vMerge w:val="continue"/>
                  <w:vAlign w:val="center"/>
                </w:tcPr>
                <w:p w14:paraId="425E0D7C">
                  <w:pPr>
                    <w:widowControl/>
                    <w:jc w:val="left"/>
                    <w:rPr>
                      <w:rFonts w:ascii="Calibri" w:hAnsi="Calibri"/>
                      <w:b/>
                      <w:sz w:val="24"/>
                    </w:rPr>
                  </w:pPr>
                </w:p>
              </w:tc>
              <w:tc>
                <w:tcPr>
                  <w:tcW w:w="668" w:type="dxa"/>
                  <w:vMerge w:val="continue"/>
                  <w:vAlign w:val="center"/>
                </w:tcPr>
                <w:p w14:paraId="2D382E42">
                  <w:pPr>
                    <w:widowControl/>
                    <w:jc w:val="left"/>
                    <w:rPr>
                      <w:rFonts w:ascii="Calibri" w:hAnsi="Calibri"/>
                      <w:b/>
                      <w:sz w:val="24"/>
                    </w:rPr>
                  </w:pPr>
                </w:p>
              </w:tc>
              <w:tc>
                <w:tcPr>
                  <w:tcW w:w="1617" w:type="dxa"/>
                  <w:gridSpan w:val="2"/>
                  <w:vMerge w:val="continue"/>
                  <w:vAlign w:val="center"/>
                </w:tcPr>
                <w:p w14:paraId="5F535624">
                  <w:pPr>
                    <w:widowControl/>
                    <w:jc w:val="left"/>
                    <w:rPr>
                      <w:rFonts w:ascii="Calibri" w:hAnsi="Calibri"/>
                      <w:b/>
                      <w:sz w:val="24"/>
                    </w:rPr>
                  </w:pPr>
                </w:p>
              </w:tc>
              <w:tc>
                <w:tcPr>
                  <w:tcW w:w="470" w:type="dxa"/>
                  <w:vMerge w:val="continue"/>
                  <w:vAlign w:val="center"/>
                </w:tcPr>
                <w:p w14:paraId="1B1C9DD0">
                  <w:pPr>
                    <w:widowControl/>
                    <w:jc w:val="left"/>
                    <w:rPr>
                      <w:rFonts w:ascii="Calibri" w:hAnsi="Calibri"/>
                      <w:b/>
                      <w:sz w:val="24"/>
                    </w:rPr>
                  </w:pPr>
                </w:p>
              </w:tc>
              <w:tc>
                <w:tcPr>
                  <w:tcW w:w="729" w:type="dxa"/>
                  <w:vMerge w:val="continue"/>
                  <w:vAlign w:val="center"/>
                </w:tcPr>
                <w:p w14:paraId="33DEFC45">
                  <w:pPr>
                    <w:widowControl/>
                    <w:jc w:val="left"/>
                    <w:rPr>
                      <w:rFonts w:ascii="Calibri" w:hAnsi="Calibri"/>
                      <w:b/>
                      <w:sz w:val="24"/>
                    </w:rPr>
                  </w:pPr>
                </w:p>
              </w:tc>
              <w:tc>
                <w:tcPr>
                  <w:tcW w:w="469" w:type="dxa"/>
                  <w:vAlign w:val="center"/>
                </w:tcPr>
                <w:p w14:paraId="0C80B664">
                  <w:pPr>
                    <w:pStyle w:val="15"/>
                    <w:jc w:val="center"/>
                    <w:rPr>
                      <w:rFonts w:hint="eastAsia"/>
                    </w:rPr>
                  </w:pPr>
                  <w:r>
                    <w:rPr>
                      <w:rFonts w:ascii="Times New Roman" w:hAnsi="Times New Roman"/>
                      <w:b/>
                      <w:sz w:val="21"/>
                      <w:szCs w:val="21"/>
                    </w:rPr>
                    <w:t>X</w:t>
                  </w:r>
                </w:p>
              </w:tc>
              <w:tc>
                <w:tcPr>
                  <w:tcW w:w="469" w:type="dxa"/>
                  <w:vAlign w:val="center"/>
                </w:tcPr>
                <w:p w14:paraId="40E1CD34">
                  <w:pPr>
                    <w:pStyle w:val="15"/>
                    <w:jc w:val="center"/>
                    <w:rPr>
                      <w:rFonts w:hint="eastAsia"/>
                    </w:rPr>
                  </w:pPr>
                  <w:r>
                    <w:rPr>
                      <w:rFonts w:ascii="Times New Roman" w:hAnsi="Times New Roman"/>
                      <w:b/>
                      <w:sz w:val="21"/>
                      <w:szCs w:val="21"/>
                    </w:rPr>
                    <w:t>Y</w:t>
                  </w:r>
                </w:p>
              </w:tc>
              <w:tc>
                <w:tcPr>
                  <w:tcW w:w="414" w:type="dxa"/>
                  <w:vAlign w:val="center"/>
                </w:tcPr>
                <w:p w14:paraId="318A2A8B">
                  <w:pPr>
                    <w:pStyle w:val="15"/>
                    <w:jc w:val="center"/>
                    <w:rPr>
                      <w:rFonts w:hint="eastAsia"/>
                    </w:rPr>
                  </w:pPr>
                  <w:r>
                    <w:rPr>
                      <w:rFonts w:ascii="Times New Roman" w:hAnsi="Times New Roman"/>
                      <w:b/>
                      <w:sz w:val="21"/>
                      <w:szCs w:val="21"/>
                    </w:rPr>
                    <w:t>Z</w:t>
                  </w:r>
                </w:p>
              </w:tc>
              <w:tc>
                <w:tcPr>
                  <w:tcW w:w="1112" w:type="dxa"/>
                  <w:gridSpan w:val="2"/>
                  <w:vMerge w:val="continue"/>
                  <w:vAlign w:val="center"/>
                </w:tcPr>
                <w:p w14:paraId="1C8EEA7E">
                  <w:pPr>
                    <w:widowControl/>
                    <w:jc w:val="left"/>
                    <w:rPr>
                      <w:rFonts w:ascii="Calibri" w:hAnsi="Calibri"/>
                      <w:b/>
                      <w:sz w:val="24"/>
                    </w:rPr>
                  </w:pPr>
                </w:p>
              </w:tc>
              <w:tc>
                <w:tcPr>
                  <w:tcW w:w="906" w:type="dxa"/>
                  <w:vMerge w:val="continue"/>
                  <w:vAlign w:val="center"/>
                </w:tcPr>
                <w:p w14:paraId="31C6AF01">
                  <w:pPr>
                    <w:widowControl/>
                    <w:jc w:val="left"/>
                    <w:rPr>
                      <w:rFonts w:ascii="Calibri" w:hAnsi="Calibri"/>
                      <w:b/>
                      <w:sz w:val="24"/>
                    </w:rPr>
                  </w:pPr>
                </w:p>
              </w:tc>
              <w:tc>
                <w:tcPr>
                  <w:tcW w:w="618" w:type="dxa"/>
                  <w:vMerge w:val="continue"/>
                  <w:vAlign w:val="center"/>
                </w:tcPr>
                <w:p w14:paraId="2E347AED">
                  <w:pPr>
                    <w:widowControl/>
                    <w:jc w:val="left"/>
                    <w:rPr>
                      <w:rFonts w:ascii="Calibri" w:hAnsi="Calibri"/>
                      <w:b/>
                      <w:sz w:val="24"/>
                    </w:rPr>
                  </w:pPr>
                </w:p>
              </w:tc>
              <w:tc>
                <w:tcPr>
                  <w:tcW w:w="906" w:type="dxa"/>
                  <w:vMerge w:val="continue"/>
                  <w:vAlign w:val="center"/>
                </w:tcPr>
                <w:p w14:paraId="2E5CAD77">
                  <w:pPr>
                    <w:widowControl/>
                    <w:jc w:val="left"/>
                    <w:rPr>
                      <w:rFonts w:ascii="Calibri" w:hAnsi="Calibri"/>
                      <w:b/>
                      <w:sz w:val="24"/>
                    </w:rPr>
                  </w:pPr>
                </w:p>
              </w:tc>
              <w:tc>
                <w:tcPr>
                  <w:tcW w:w="906" w:type="dxa"/>
                  <w:vAlign w:val="center"/>
                </w:tcPr>
                <w:p w14:paraId="34778021">
                  <w:pPr>
                    <w:pStyle w:val="15"/>
                    <w:jc w:val="center"/>
                    <w:rPr>
                      <w:rFonts w:hint="eastAsia"/>
                      <w:b/>
                    </w:rPr>
                  </w:pPr>
                  <w:r>
                    <w:rPr>
                      <w:rFonts w:hint="eastAsia"/>
                      <w:b/>
                      <w:sz w:val="21"/>
                      <w:szCs w:val="21"/>
                    </w:rPr>
                    <w:t>声压级</w:t>
                  </w:r>
                  <w:r>
                    <w:rPr>
                      <w:rFonts w:ascii="Times New Roman" w:hAnsi="Times New Roman"/>
                      <w:b/>
                      <w:sz w:val="21"/>
                      <w:szCs w:val="21"/>
                    </w:rPr>
                    <w:t>/dB(A)</w:t>
                  </w:r>
                </w:p>
              </w:tc>
              <w:tc>
                <w:tcPr>
                  <w:tcW w:w="527" w:type="dxa"/>
                  <w:vAlign w:val="center"/>
                </w:tcPr>
                <w:p w14:paraId="677B39EB">
                  <w:pPr>
                    <w:pStyle w:val="15"/>
                    <w:jc w:val="center"/>
                    <w:rPr>
                      <w:rFonts w:hint="eastAsia"/>
                      <w:b/>
                    </w:rPr>
                  </w:pPr>
                  <w:r>
                    <w:rPr>
                      <w:rFonts w:hint="eastAsia"/>
                      <w:b/>
                      <w:sz w:val="21"/>
                      <w:szCs w:val="21"/>
                    </w:rPr>
                    <w:t>建筑物外距离</w:t>
                  </w:r>
                </w:p>
              </w:tc>
            </w:tr>
            <w:tr w14:paraId="45F36AF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600DBE75">
                  <w:pPr>
                    <w:pStyle w:val="86"/>
                  </w:pPr>
                  <w:r>
                    <w:t>1</w:t>
                  </w:r>
                </w:p>
              </w:tc>
              <w:tc>
                <w:tcPr>
                  <w:tcW w:w="776" w:type="dxa"/>
                  <w:vMerge w:val="restart"/>
                  <w:vAlign w:val="center"/>
                </w:tcPr>
                <w:p w14:paraId="0A50766F">
                  <w:pPr>
                    <w:pStyle w:val="86"/>
                  </w:pPr>
                  <w:r>
                    <w:rPr>
                      <w:rFonts w:hint="eastAsia"/>
                    </w:rPr>
                    <w:t>生产车间</w:t>
                  </w:r>
                </w:p>
              </w:tc>
              <w:tc>
                <w:tcPr>
                  <w:tcW w:w="851" w:type="dxa"/>
                  <w:vMerge w:val="restart"/>
                  <w:vAlign w:val="center"/>
                </w:tcPr>
                <w:p w14:paraId="4BDC3154">
                  <w:pPr>
                    <w:pStyle w:val="86"/>
                  </w:pPr>
                  <w:r>
                    <w:rPr>
                      <w:rFonts w:hint="eastAsia"/>
                    </w:rPr>
                    <w:t>破碎机</w:t>
                  </w:r>
                </w:p>
              </w:tc>
              <w:tc>
                <w:tcPr>
                  <w:tcW w:w="668" w:type="dxa"/>
                  <w:vMerge w:val="restart"/>
                  <w:vAlign w:val="center"/>
                </w:tcPr>
                <w:p w14:paraId="595D3569">
                  <w:pPr>
                    <w:pStyle w:val="86"/>
                  </w:pPr>
                  <w:r>
                    <w:t>/</w:t>
                  </w:r>
                </w:p>
              </w:tc>
              <w:tc>
                <w:tcPr>
                  <w:tcW w:w="645" w:type="dxa"/>
                  <w:vMerge w:val="restart"/>
                  <w:vAlign w:val="center"/>
                </w:tcPr>
                <w:p w14:paraId="67D6EB70">
                  <w:pPr>
                    <w:pStyle w:val="86"/>
                  </w:pPr>
                  <w:r>
                    <w:t xml:space="preserve">2 </w:t>
                  </w:r>
                </w:p>
              </w:tc>
              <w:tc>
                <w:tcPr>
                  <w:tcW w:w="972" w:type="dxa"/>
                  <w:vMerge w:val="restart"/>
                  <w:vAlign w:val="center"/>
                </w:tcPr>
                <w:p w14:paraId="3B130FEA">
                  <w:pPr>
                    <w:pStyle w:val="86"/>
                  </w:pPr>
                  <w:r>
                    <w:t>80/1</w:t>
                  </w:r>
                </w:p>
              </w:tc>
              <w:tc>
                <w:tcPr>
                  <w:tcW w:w="470" w:type="dxa"/>
                  <w:vMerge w:val="restart"/>
                  <w:vAlign w:val="center"/>
                </w:tcPr>
                <w:p w14:paraId="655650E2">
                  <w:pPr>
                    <w:pStyle w:val="86"/>
                  </w:pPr>
                  <w:r>
                    <w:t>/</w:t>
                  </w:r>
                </w:p>
              </w:tc>
              <w:tc>
                <w:tcPr>
                  <w:tcW w:w="729" w:type="dxa"/>
                  <w:vMerge w:val="restart"/>
                  <w:vAlign w:val="center"/>
                </w:tcPr>
                <w:p w14:paraId="3B69D5E1">
                  <w:pPr>
                    <w:pStyle w:val="86"/>
                  </w:pPr>
                  <w:r>
                    <w:rPr>
                      <w:rFonts w:hint="eastAsia"/>
                    </w:rPr>
                    <w:t>基础减振、厂房隔声</w:t>
                  </w:r>
                </w:p>
              </w:tc>
              <w:tc>
                <w:tcPr>
                  <w:tcW w:w="469" w:type="dxa"/>
                  <w:vMerge w:val="restart"/>
                  <w:vAlign w:val="center"/>
                </w:tcPr>
                <w:p w14:paraId="663EE22A">
                  <w:pPr>
                    <w:pStyle w:val="86"/>
                  </w:pPr>
                  <w:r>
                    <w:t>33</w:t>
                  </w:r>
                </w:p>
              </w:tc>
              <w:tc>
                <w:tcPr>
                  <w:tcW w:w="469" w:type="dxa"/>
                  <w:vMerge w:val="restart"/>
                  <w:vAlign w:val="center"/>
                </w:tcPr>
                <w:p w14:paraId="157765C3">
                  <w:pPr>
                    <w:pStyle w:val="86"/>
                  </w:pPr>
                  <w:r>
                    <w:t>18</w:t>
                  </w:r>
                </w:p>
              </w:tc>
              <w:tc>
                <w:tcPr>
                  <w:tcW w:w="414" w:type="dxa"/>
                  <w:vMerge w:val="restart"/>
                  <w:vAlign w:val="center"/>
                </w:tcPr>
                <w:p w14:paraId="2087B106">
                  <w:pPr>
                    <w:pStyle w:val="86"/>
                  </w:pPr>
                  <w:r>
                    <w:t>1</w:t>
                  </w:r>
                </w:p>
              </w:tc>
              <w:tc>
                <w:tcPr>
                  <w:tcW w:w="469" w:type="dxa"/>
                  <w:vAlign w:val="center"/>
                </w:tcPr>
                <w:p w14:paraId="109EFC17">
                  <w:pPr>
                    <w:pStyle w:val="86"/>
                  </w:pPr>
                  <w:r>
                    <w:t>东</w:t>
                  </w:r>
                </w:p>
              </w:tc>
              <w:tc>
                <w:tcPr>
                  <w:tcW w:w="643" w:type="dxa"/>
                  <w:vAlign w:val="center"/>
                </w:tcPr>
                <w:p w14:paraId="3E39A7B7">
                  <w:pPr>
                    <w:pStyle w:val="86"/>
                  </w:pPr>
                  <w:r>
                    <w:t xml:space="preserve">59.6 </w:t>
                  </w:r>
                </w:p>
              </w:tc>
              <w:tc>
                <w:tcPr>
                  <w:tcW w:w="906" w:type="dxa"/>
                  <w:vAlign w:val="center"/>
                </w:tcPr>
                <w:p w14:paraId="44E3FB82">
                  <w:pPr>
                    <w:pStyle w:val="86"/>
                  </w:pPr>
                  <w:r>
                    <w:t xml:space="preserve">65.3 </w:t>
                  </w:r>
                </w:p>
              </w:tc>
              <w:tc>
                <w:tcPr>
                  <w:tcW w:w="618" w:type="dxa"/>
                  <w:vMerge w:val="restart"/>
                  <w:vAlign w:val="center"/>
                </w:tcPr>
                <w:p w14:paraId="793496DF">
                  <w:pPr>
                    <w:pStyle w:val="86"/>
                  </w:pPr>
                  <w:r>
                    <w:rPr>
                      <w:rFonts w:hint="eastAsia"/>
                    </w:rPr>
                    <w:t>持续运行</w:t>
                  </w:r>
                </w:p>
              </w:tc>
              <w:tc>
                <w:tcPr>
                  <w:tcW w:w="906" w:type="dxa"/>
                  <w:vMerge w:val="restart"/>
                  <w:vAlign w:val="center"/>
                </w:tcPr>
                <w:p w14:paraId="718CD162">
                  <w:pPr>
                    <w:pStyle w:val="86"/>
                  </w:pPr>
                  <w:r>
                    <w:t>25</w:t>
                  </w:r>
                </w:p>
              </w:tc>
              <w:tc>
                <w:tcPr>
                  <w:tcW w:w="906" w:type="dxa"/>
                  <w:vAlign w:val="center"/>
                </w:tcPr>
                <w:p w14:paraId="42499DDA">
                  <w:pPr>
                    <w:pStyle w:val="86"/>
                  </w:pPr>
                  <w:r>
                    <w:t xml:space="preserve">40.3 </w:t>
                  </w:r>
                </w:p>
              </w:tc>
              <w:tc>
                <w:tcPr>
                  <w:tcW w:w="527" w:type="dxa"/>
                  <w:vAlign w:val="center"/>
                </w:tcPr>
                <w:p w14:paraId="1D399AC6">
                  <w:pPr>
                    <w:pStyle w:val="86"/>
                  </w:pPr>
                  <w:r>
                    <w:t>1</w:t>
                  </w:r>
                </w:p>
              </w:tc>
            </w:tr>
            <w:tr w14:paraId="3E9AE28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265B085B">
                  <w:pPr>
                    <w:pStyle w:val="86"/>
                    <w:rPr>
                      <w:rFonts w:ascii="Calibri" w:hAnsi="Calibri"/>
                      <w:kern w:val="2"/>
                      <w:sz w:val="24"/>
                      <w:szCs w:val="24"/>
                    </w:rPr>
                  </w:pPr>
                </w:p>
              </w:tc>
              <w:tc>
                <w:tcPr>
                  <w:tcW w:w="776" w:type="dxa"/>
                  <w:vMerge w:val="continue"/>
                  <w:vAlign w:val="center"/>
                </w:tcPr>
                <w:p w14:paraId="0D5C4C40">
                  <w:pPr>
                    <w:pStyle w:val="86"/>
                    <w:rPr>
                      <w:rFonts w:ascii="Calibri" w:hAnsi="Calibri"/>
                      <w:kern w:val="2"/>
                      <w:sz w:val="24"/>
                      <w:szCs w:val="24"/>
                    </w:rPr>
                  </w:pPr>
                </w:p>
              </w:tc>
              <w:tc>
                <w:tcPr>
                  <w:tcW w:w="851" w:type="dxa"/>
                  <w:vMerge w:val="continue"/>
                  <w:vAlign w:val="center"/>
                </w:tcPr>
                <w:p w14:paraId="28E5E7C7">
                  <w:pPr>
                    <w:pStyle w:val="86"/>
                    <w:rPr>
                      <w:rFonts w:ascii="Calibri" w:hAnsi="Calibri"/>
                      <w:kern w:val="2"/>
                      <w:sz w:val="24"/>
                      <w:szCs w:val="24"/>
                    </w:rPr>
                  </w:pPr>
                </w:p>
              </w:tc>
              <w:tc>
                <w:tcPr>
                  <w:tcW w:w="668" w:type="dxa"/>
                  <w:vMerge w:val="continue"/>
                  <w:vAlign w:val="center"/>
                </w:tcPr>
                <w:p w14:paraId="16F97D6F">
                  <w:pPr>
                    <w:pStyle w:val="86"/>
                    <w:rPr>
                      <w:rFonts w:ascii="Calibri" w:hAnsi="Calibri"/>
                      <w:kern w:val="2"/>
                      <w:sz w:val="24"/>
                      <w:szCs w:val="24"/>
                    </w:rPr>
                  </w:pPr>
                </w:p>
              </w:tc>
              <w:tc>
                <w:tcPr>
                  <w:tcW w:w="645" w:type="dxa"/>
                  <w:vMerge w:val="continue"/>
                  <w:vAlign w:val="center"/>
                </w:tcPr>
                <w:p w14:paraId="7C4DD161">
                  <w:pPr>
                    <w:pStyle w:val="86"/>
                    <w:rPr>
                      <w:rFonts w:ascii="Calibri" w:hAnsi="Calibri"/>
                      <w:kern w:val="2"/>
                      <w:sz w:val="24"/>
                      <w:szCs w:val="24"/>
                    </w:rPr>
                  </w:pPr>
                </w:p>
              </w:tc>
              <w:tc>
                <w:tcPr>
                  <w:tcW w:w="972" w:type="dxa"/>
                  <w:vMerge w:val="continue"/>
                  <w:vAlign w:val="center"/>
                </w:tcPr>
                <w:p w14:paraId="50667012">
                  <w:pPr>
                    <w:pStyle w:val="86"/>
                    <w:rPr>
                      <w:rFonts w:ascii="Calibri" w:hAnsi="Calibri"/>
                      <w:kern w:val="2"/>
                      <w:sz w:val="24"/>
                      <w:szCs w:val="24"/>
                    </w:rPr>
                  </w:pPr>
                </w:p>
              </w:tc>
              <w:tc>
                <w:tcPr>
                  <w:tcW w:w="470" w:type="dxa"/>
                  <w:vMerge w:val="continue"/>
                  <w:vAlign w:val="center"/>
                </w:tcPr>
                <w:p w14:paraId="04E649DE">
                  <w:pPr>
                    <w:pStyle w:val="86"/>
                    <w:rPr>
                      <w:rFonts w:ascii="Calibri" w:hAnsi="Calibri"/>
                      <w:kern w:val="2"/>
                      <w:sz w:val="24"/>
                      <w:szCs w:val="24"/>
                    </w:rPr>
                  </w:pPr>
                </w:p>
              </w:tc>
              <w:tc>
                <w:tcPr>
                  <w:tcW w:w="729" w:type="dxa"/>
                  <w:vMerge w:val="continue"/>
                  <w:vAlign w:val="center"/>
                </w:tcPr>
                <w:p w14:paraId="11AC8FA2">
                  <w:pPr>
                    <w:pStyle w:val="86"/>
                    <w:rPr>
                      <w:rFonts w:ascii="Calibri" w:hAnsi="Calibri"/>
                      <w:kern w:val="2"/>
                      <w:sz w:val="24"/>
                      <w:szCs w:val="24"/>
                    </w:rPr>
                  </w:pPr>
                </w:p>
              </w:tc>
              <w:tc>
                <w:tcPr>
                  <w:tcW w:w="469" w:type="dxa"/>
                  <w:vMerge w:val="continue"/>
                  <w:vAlign w:val="center"/>
                </w:tcPr>
                <w:p w14:paraId="240F065B">
                  <w:pPr>
                    <w:pStyle w:val="86"/>
                    <w:rPr>
                      <w:rFonts w:ascii="Calibri" w:hAnsi="Calibri"/>
                      <w:kern w:val="2"/>
                      <w:sz w:val="24"/>
                      <w:szCs w:val="24"/>
                    </w:rPr>
                  </w:pPr>
                </w:p>
              </w:tc>
              <w:tc>
                <w:tcPr>
                  <w:tcW w:w="469" w:type="dxa"/>
                  <w:vMerge w:val="continue"/>
                  <w:vAlign w:val="center"/>
                </w:tcPr>
                <w:p w14:paraId="6F7395FD">
                  <w:pPr>
                    <w:pStyle w:val="86"/>
                    <w:rPr>
                      <w:rFonts w:ascii="Calibri" w:hAnsi="Calibri"/>
                      <w:kern w:val="2"/>
                      <w:sz w:val="24"/>
                      <w:szCs w:val="24"/>
                    </w:rPr>
                  </w:pPr>
                </w:p>
              </w:tc>
              <w:tc>
                <w:tcPr>
                  <w:tcW w:w="414" w:type="dxa"/>
                  <w:vMerge w:val="continue"/>
                  <w:vAlign w:val="center"/>
                </w:tcPr>
                <w:p w14:paraId="404E0F4F">
                  <w:pPr>
                    <w:pStyle w:val="86"/>
                    <w:rPr>
                      <w:rFonts w:ascii="Calibri" w:hAnsi="Calibri"/>
                      <w:kern w:val="2"/>
                      <w:sz w:val="24"/>
                      <w:szCs w:val="24"/>
                    </w:rPr>
                  </w:pPr>
                </w:p>
              </w:tc>
              <w:tc>
                <w:tcPr>
                  <w:tcW w:w="469" w:type="dxa"/>
                  <w:vAlign w:val="center"/>
                </w:tcPr>
                <w:p w14:paraId="0DAE220B">
                  <w:pPr>
                    <w:pStyle w:val="86"/>
                  </w:pPr>
                  <w:r>
                    <w:t>南</w:t>
                  </w:r>
                </w:p>
              </w:tc>
              <w:tc>
                <w:tcPr>
                  <w:tcW w:w="643" w:type="dxa"/>
                  <w:vAlign w:val="center"/>
                </w:tcPr>
                <w:p w14:paraId="6C5CB964">
                  <w:pPr>
                    <w:pStyle w:val="86"/>
                  </w:pPr>
                  <w:r>
                    <w:t xml:space="preserve">23.9 </w:t>
                  </w:r>
                </w:p>
              </w:tc>
              <w:tc>
                <w:tcPr>
                  <w:tcW w:w="906" w:type="dxa"/>
                  <w:vAlign w:val="center"/>
                </w:tcPr>
                <w:p w14:paraId="3C41106A">
                  <w:pPr>
                    <w:pStyle w:val="86"/>
                  </w:pPr>
                  <w:r>
                    <w:t xml:space="preserve">66.0 </w:t>
                  </w:r>
                </w:p>
              </w:tc>
              <w:tc>
                <w:tcPr>
                  <w:tcW w:w="618" w:type="dxa"/>
                  <w:vMerge w:val="continue"/>
                  <w:vAlign w:val="center"/>
                </w:tcPr>
                <w:p w14:paraId="271F7951">
                  <w:pPr>
                    <w:pStyle w:val="86"/>
                    <w:rPr>
                      <w:rFonts w:ascii="Calibri" w:hAnsi="Calibri"/>
                      <w:kern w:val="2"/>
                      <w:sz w:val="24"/>
                      <w:szCs w:val="24"/>
                    </w:rPr>
                  </w:pPr>
                </w:p>
              </w:tc>
              <w:tc>
                <w:tcPr>
                  <w:tcW w:w="906" w:type="dxa"/>
                  <w:vMerge w:val="continue"/>
                  <w:vAlign w:val="center"/>
                </w:tcPr>
                <w:p w14:paraId="7D7DE4D9">
                  <w:pPr>
                    <w:pStyle w:val="86"/>
                    <w:rPr>
                      <w:rFonts w:ascii="Calibri" w:hAnsi="Calibri"/>
                      <w:kern w:val="2"/>
                      <w:sz w:val="24"/>
                      <w:szCs w:val="24"/>
                    </w:rPr>
                  </w:pPr>
                </w:p>
              </w:tc>
              <w:tc>
                <w:tcPr>
                  <w:tcW w:w="906" w:type="dxa"/>
                  <w:vAlign w:val="center"/>
                </w:tcPr>
                <w:p w14:paraId="61C16386">
                  <w:pPr>
                    <w:pStyle w:val="86"/>
                  </w:pPr>
                  <w:r>
                    <w:t xml:space="preserve">41.0 </w:t>
                  </w:r>
                </w:p>
              </w:tc>
              <w:tc>
                <w:tcPr>
                  <w:tcW w:w="527" w:type="dxa"/>
                  <w:vAlign w:val="center"/>
                </w:tcPr>
                <w:p w14:paraId="5313EDE9">
                  <w:pPr>
                    <w:pStyle w:val="86"/>
                  </w:pPr>
                  <w:r>
                    <w:t>1</w:t>
                  </w:r>
                </w:p>
              </w:tc>
            </w:tr>
            <w:tr w14:paraId="58A9952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56F0470E">
                  <w:pPr>
                    <w:pStyle w:val="86"/>
                    <w:rPr>
                      <w:rFonts w:ascii="Calibri" w:hAnsi="Calibri"/>
                      <w:kern w:val="2"/>
                      <w:sz w:val="24"/>
                      <w:szCs w:val="24"/>
                    </w:rPr>
                  </w:pPr>
                </w:p>
              </w:tc>
              <w:tc>
                <w:tcPr>
                  <w:tcW w:w="776" w:type="dxa"/>
                  <w:vMerge w:val="continue"/>
                  <w:vAlign w:val="center"/>
                </w:tcPr>
                <w:p w14:paraId="5AE2B5E8">
                  <w:pPr>
                    <w:pStyle w:val="86"/>
                    <w:rPr>
                      <w:rFonts w:ascii="Calibri" w:hAnsi="Calibri"/>
                      <w:kern w:val="2"/>
                      <w:sz w:val="24"/>
                      <w:szCs w:val="24"/>
                    </w:rPr>
                  </w:pPr>
                </w:p>
              </w:tc>
              <w:tc>
                <w:tcPr>
                  <w:tcW w:w="851" w:type="dxa"/>
                  <w:vMerge w:val="continue"/>
                  <w:vAlign w:val="center"/>
                </w:tcPr>
                <w:p w14:paraId="46696C9B">
                  <w:pPr>
                    <w:pStyle w:val="86"/>
                    <w:rPr>
                      <w:rFonts w:ascii="Calibri" w:hAnsi="Calibri"/>
                      <w:kern w:val="2"/>
                      <w:sz w:val="24"/>
                      <w:szCs w:val="24"/>
                    </w:rPr>
                  </w:pPr>
                </w:p>
              </w:tc>
              <w:tc>
                <w:tcPr>
                  <w:tcW w:w="668" w:type="dxa"/>
                  <w:vMerge w:val="continue"/>
                  <w:vAlign w:val="center"/>
                </w:tcPr>
                <w:p w14:paraId="557862A7">
                  <w:pPr>
                    <w:pStyle w:val="86"/>
                    <w:rPr>
                      <w:rFonts w:ascii="Calibri" w:hAnsi="Calibri"/>
                      <w:kern w:val="2"/>
                      <w:sz w:val="24"/>
                      <w:szCs w:val="24"/>
                    </w:rPr>
                  </w:pPr>
                </w:p>
              </w:tc>
              <w:tc>
                <w:tcPr>
                  <w:tcW w:w="645" w:type="dxa"/>
                  <w:vMerge w:val="continue"/>
                  <w:vAlign w:val="center"/>
                </w:tcPr>
                <w:p w14:paraId="066D9389">
                  <w:pPr>
                    <w:pStyle w:val="86"/>
                    <w:rPr>
                      <w:rFonts w:ascii="Calibri" w:hAnsi="Calibri"/>
                      <w:kern w:val="2"/>
                      <w:sz w:val="24"/>
                      <w:szCs w:val="24"/>
                    </w:rPr>
                  </w:pPr>
                </w:p>
              </w:tc>
              <w:tc>
                <w:tcPr>
                  <w:tcW w:w="972" w:type="dxa"/>
                  <w:vMerge w:val="continue"/>
                  <w:vAlign w:val="center"/>
                </w:tcPr>
                <w:p w14:paraId="34C1B3B4">
                  <w:pPr>
                    <w:pStyle w:val="86"/>
                    <w:rPr>
                      <w:rFonts w:ascii="Calibri" w:hAnsi="Calibri"/>
                      <w:kern w:val="2"/>
                      <w:sz w:val="24"/>
                      <w:szCs w:val="24"/>
                    </w:rPr>
                  </w:pPr>
                </w:p>
              </w:tc>
              <w:tc>
                <w:tcPr>
                  <w:tcW w:w="470" w:type="dxa"/>
                  <w:vMerge w:val="continue"/>
                  <w:vAlign w:val="center"/>
                </w:tcPr>
                <w:p w14:paraId="0617DE6E">
                  <w:pPr>
                    <w:pStyle w:val="86"/>
                    <w:rPr>
                      <w:rFonts w:ascii="Calibri" w:hAnsi="Calibri"/>
                      <w:kern w:val="2"/>
                      <w:sz w:val="24"/>
                      <w:szCs w:val="24"/>
                    </w:rPr>
                  </w:pPr>
                </w:p>
              </w:tc>
              <w:tc>
                <w:tcPr>
                  <w:tcW w:w="729" w:type="dxa"/>
                  <w:vMerge w:val="continue"/>
                  <w:vAlign w:val="center"/>
                </w:tcPr>
                <w:p w14:paraId="5CBCD3DD">
                  <w:pPr>
                    <w:pStyle w:val="86"/>
                    <w:rPr>
                      <w:rFonts w:ascii="Calibri" w:hAnsi="Calibri"/>
                      <w:kern w:val="2"/>
                      <w:sz w:val="24"/>
                      <w:szCs w:val="24"/>
                    </w:rPr>
                  </w:pPr>
                </w:p>
              </w:tc>
              <w:tc>
                <w:tcPr>
                  <w:tcW w:w="469" w:type="dxa"/>
                  <w:vMerge w:val="continue"/>
                  <w:vAlign w:val="center"/>
                </w:tcPr>
                <w:p w14:paraId="53189E13">
                  <w:pPr>
                    <w:pStyle w:val="86"/>
                    <w:rPr>
                      <w:rFonts w:ascii="Calibri" w:hAnsi="Calibri"/>
                      <w:kern w:val="2"/>
                      <w:sz w:val="24"/>
                      <w:szCs w:val="24"/>
                    </w:rPr>
                  </w:pPr>
                </w:p>
              </w:tc>
              <w:tc>
                <w:tcPr>
                  <w:tcW w:w="469" w:type="dxa"/>
                  <w:vMerge w:val="continue"/>
                  <w:vAlign w:val="center"/>
                </w:tcPr>
                <w:p w14:paraId="7275221B">
                  <w:pPr>
                    <w:pStyle w:val="86"/>
                    <w:rPr>
                      <w:rFonts w:ascii="Calibri" w:hAnsi="Calibri"/>
                      <w:kern w:val="2"/>
                      <w:sz w:val="24"/>
                      <w:szCs w:val="24"/>
                    </w:rPr>
                  </w:pPr>
                </w:p>
              </w:tc>
              <w:tc>
                <w:tcPr>
                  <w:tcW w:w="414" w:type="dxa"/>
                  <w:vMerge w:val="continue"/>
                  <w:vAlign w:val="center"/>
                </w:tcPr>
                <w:p w14:paraId="12AA5288">
                  <w:pPr>
                    <w:pStyle w:val="86"/>
                    <w:rPr>
                      <w:rFonts w:ascii="Calibri" w:hAnsi="Calibri"/>
                      <w:kern w:val="2"/>
                      <w:sz w:val="24"/>
                      <w:szCs w:val="24"/>
                    </w:rPr>
                  </w:pPr>
                </w:p>
              </w:tc>
              <w:tc>
                <w:tcPr>
                  <w:tcW w:w="469" w:type="dxa"/>
                  <w:vAlign w:val="center"/>
                </w:tcPr>
                <w:p w14:paraId="2B2CF477">
                  <w:pPr>
                    <w:pStyle w:val="86"/>
                  </w:pPr>
                  <w:r>
                    <w:t>西</w:t>
                  </w:r>
                </w:p>
              </w:tc>
              <w:tc>
                <w:tcPr>
                  <w:tcW w:w="643" w:type="dxa"/>
                  <w:vAlign w:val="center"/>
                </w:tcPr>
                <w:p w14:paraId="76AB3086">
                  <w:pPr>
                    <w:pStyle w:val="86"/>
                  </w:pPr>
                  <w:r>
                    <w:t xml:space="preserve">32.1 </w:t>
                  </w:r>
                </w:p>
              </w:tc>
              <w:tc>
                <w:tcPr>
                  <w:tcW w:w="906" w:type="dxa"/>
                  <w:vAlign w:val="center"/>
                </w:tcPr>
                <w:p w14:paraId="207186D5">
                  <w:pPr>
                    <w:pStyle w:val="86"/>
                  </w:pPr>
                  <w:r>
                    <w:t xml:space="preserve">65.7 </w:t>
                  </w:r>
                </w:p>
              </w:tc>
              <w:tc>
                <w:tcPr>
                  <w:tcW w:w="618" w:type="dxa"/>
                  <w:vMerge w:val="continue"/>
                  <w:vAlign w:val="center"/>
                </w:tcPr>
                <w:p w14:paraId="3E4E607C">
                  <w:pPr>
                    <w:pStyle w:val="86"/>
                    <w:rPr>
                      <w:rFonts w:ascii="Calibri" w:hAnsi="Calibri"/>
                      <w:kern w:val="2"/>
                      <w:sz w:val="24"/>
                      <w:szCs w:val="24"/>
                    </w:rPr>
                  </w:pPr>
                </w:p>
              </w:tc>
              <w:tc>
                <w:tcPr>
                  <w:tcW w:w="906" w:type="dxa"/>
                  <w:vMerge w:val="continue"/>
                  <w:vAlign w:val="center"/>
                </w:tcPr>
                <w:p w14:paraId="5FD85D58">
                  <w:pPr>
                    <w:pStyle w:val="86"/>
                    <w:rPr>
                      <w:rFonts w:ascii="Calibri" w:hAnsi="Calibri"/>
                      <w:kern w:val="2"/>
                      <w:sz w:val="24"/>
                      <w:szCs w:val="24"/>
                    </w:rPr>
                  </w:pPr>
                </w:p>
              </w:tc>
              <w:tc>
                <w:tcPr>
                  <w:tcW w:w="906" w:type="dxa"/>
                  <w:vAlign w:val="center"/>
                </w:tcPr>
                <w:p w14:paraId="0A81F32E">
                  <w:pPr>
                    <w:pStyle w:val="86"/>
                  </w:pPr>
                  <w:r>
                    <w:t xml:space="preserve">40.7 </w:t>
                  </w:r>
                </w:p>
              </w:tc>
              <w:tc>
                <w:tcPr>
                  <w:tcW w:w="527" w:type="dxa"/>
                  <w:vAlign w:val="center"/>
                </w:tcPr>
                <w:p w14:paraId="365AE901">
                  <w:pPr>
                    <w:pStyle w:val="86"/>
                  </w:pPr>
                  <w:r>
                    <w:t>1</w:t>
                  </w:r>
                </w:p>
              </w:tc>
            </w:tr>
            <w:tr w14:paraId="7ED6E77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7CCC693C">
                  <w:pPr>
                    <w:pStyle w:val="86"/>
                    <w:rPr>
                      <w:rFonts w:ascii="Calibri" w:hAnsi="Calibri"/>
                      <w:kern w:val="2"/>
                      <w:sz w:val="24"/>
                      <w:szCs w:val="24"/>
                    </w:rPr>
                  </w:pPr>
                </w:p>
              </w:tc>
              <w:tc>
                <w:tcPr>
                  <w:tcW w:w="776" w:type="dxa"/>
                  <w:vMerge w:val="continue"/>
                  <w:vAlign w:val="center"/>
                </w:tcPr>
                <w:p w14:paraId="48EE221A">
                  <w:pPr>
                    <w:pStyle w:val="86"/>
                    <w:rPr>
                      <w:rFonts w:ascii="Calibri" w:hAnsi="Calibri"/>
                      <w:kern w:val="2"/>
                      <w:sz w:val="24"/>
                      <w:szCs w:val="24"/>
                    </w:rPr>
                  </w:pPr>
                </w:p>
              </w:tc>
              <w:tc>
                <w:tcPr>
                  <w:tcW w:w="851" w:type="dxa"/>
                  <w:vMerge w:val="continue"/>
                  <w:vAlign w:val="center"/>
                </w:tcPr>
                <w:p w14:paraId="729F0A4C">
                  <w:pPr>
                    <w:pStyle w:val="86"/>
                    <w:rPr>
                      <w:rFonts w:ascii="Calibri" w:hAnsi="Calibri"/>
                      <w:kern w:val="2"/>
                      <w:sz w:val="24"/>
                      <w:szCs w:val="24"/>
                    </w:rPr>
                  </w:pPr>
                </w:p>
              </w:tc>
              <w:tc>
                <w:tcPr>
                  <w:tcW w:w="668" w:type="dxa"/>
                  <w:vMerge w:val="continue"/>
                  <w:vAlign w:val="center"/>
                </w:tcPr>
                <w:p w14:paraId="5A5AF10E">
                  <w:pPr>
                    <w:pStyle w:val="86"/>
                    <w:rPr>
                      <w:rFonts w:ascii="Calibri" w:hAnsi="Calibri"/>
                      <w:kern w:val="2"/>
                      <w:sz w:val="24"/>
                      <w:szCs w:val="24"/>
                    </w:rPr>
                  </w:pPr>
                </w:p>
              </w:tc>
              <w:tc>
                <w:tcPr>
                  <w:tcW w:w="645" w:type="dxa"/>
                  <w:vMerge w:val="continue"/>
                  <w:vAlign w:val="center"/>
                </w:tcPr>
                <w:p w14:paraId="6DDE9234">
                  <w:pPr>
                    <w:pStyle w:val="86"/>
                    <w:rPr>
                      <w:rFonts w:ascii="Calibri" w:hAnsi="Calibri"/>
                      <w:kern w:val="2"/>
                      <w:sz w:val="24"/>
                      <w:szCs w:val="24"/>
                    </w:rPr>
                  </w:pPr>
                </w:p>
              </w:tc>
              <w:tc>
                <w:tcPr>
                  <w:tcW w:w="972" w:type="dxa"/>
                  <w:vMerge w:val="continue"/>
                  <w:vAlign w:val="center"/>
                </w:tcPr>
                <w:p w14:paraId="0E9BD938">
                  <w:pPr>
                    <w:pStyle w:val="86"/>
                    <w:rPr>
                      <w:rFonts w:ascii="Calibri" w:hAnsi="Calibri"/>
                      <w:kern w:val="2"/>
                      <w:sz w:val="24"/>
                      <w:szCs w:val="24"/>
                    </w:rPr>
                  </w:pPr>
                </w:p>
              </w:tc>
              <w:tc>
                <w:tcPr>
                  <w:tcW w:w="470" w:type="dxa"/>
                  <w:vMerge w:val="continue"/>
                  <w:vAlign w:val="center"/>
                </w:tcPr>
                <w:p w14:paraId="0BE8E46E">
                  <w:pPr>
                    <w:pStyle w:val="86"/>
                    <w:rPr>
                      <w:rFonts w:ascii="Calibri" w:hAnsi="Calibri"/>
                      <w:kern w:val="2"/>
                      <w:sz w:val="24"/>
                      <w:szCs w:val="24"/>
                    </w:rPr>
                  </w:pPr>
                </w:p>
              </w:tc>
              <w:tc>
                <w:tcPr>
                  <w:tcW w:w="729" w:type="dxa"/>
                  <w:vMerge w:val="continue"/>
                  <w:vAlign w:val="center"/>
                </w:tcPr>
                <w:p w14:paraId="00901473">
                  <w:pPr>
                    <w:pStyle w:val="86"/>
                    <w:rPr>
                      <w:rFonts w:ascii="Calibri" w:hAnsi="Calibri"/>
                      <w:kern w:val="2"/>
                      <w:sz w:val="24"/>
                      <w:szCs w:val="24"/>
                    </w:rPr>
                  </w:pPr>
                </w:p>
              </w:tc>
              <w:tc>
                <w:tcPr>
                  <w:tcW w:w="469" w:type="dxa"/>
                  <w:vMerge w:val="continue"/>
                  <w:vAlign w:val="center"/>
                </w:tcPr>
                <w:p w14:paraId="326D3401">
                  <w:pPr>
                    <w:pStyle w:val="86"/>
                    <w:rPr>
                      <w:rFonts w:ascii="Calibri" w:hAnsi="Calibri"/>
                      <w:kern w:val="2"/>
                      <w:sz w:val="24"/>
                      <w:szCs w:val="24"/>
                    </w:rPr>
                  </w:pPr>
                </w:p>
              </w:tc>
              <w:tc>
                <w:tcPr>
                  <w:tcW w:w="469" w:type="dxa"/>
                  <w:vMerge w:val="continue"/>
                  <w:vAlign w:val="center"/>
                </w:tcPr>
                <w:p w14:paraId="2270D4FF">
                  <w:pPr>
                    <w:pStyle w:val="86"/>
                    <w:rPr>
                      <w:rFonts w:ascii="Calibri" w:hAnsi="Calibri"/>
                      <w:kern w:val="2"/>
                      <w:sz w:val="24"/>
                      <w:szCs w:val="24"/>
                    </w:rPr>
                  </w:pPr>
                </w:p>
              </w:tc>
              <w:tc>
                <w:tcPr>
                  <w:tcW w:w="414" w:type="dxa"/>
                  <w:vMerge w:val="continue"/>
                  <w:vAlign w:val="center"/>
                </w:tcPr>
                <w:p w14:paraId="5DA7F651">
                  <w:pPr>
                    <w:pStyle w:val="86"/>
                    <w:rPr>
                      <w:rFonts w:ascii="Calibri" w:hAnsi="Calibri"/>
                      <w:kern w:val="2"/>
                      <w:sz w:val="24"/>
                      <w:szCs w:val="24"/>
                    </w:rPr>
                  </w:pPr>
                </w:p>
              </w:tc>
              <w:tc>
                <w:tcPr>
                  <w:tcW w:w="469" w:type="dxa"/>
                  <w:vAlign w:val="center"/>
                </w:tcPr>
                <w:p w14:paraId="0FA1620D">
                  <w:pPr>
                    <w:pStyle w:val="86"/>
                  </w:pPr>
                  <w:r>
                    <w:t>北</w:t>
                  </w:r>
                </w:p>
              </w:tc>
              <w:tc>
                <w:tcPr>
                  <w:tcW w:w="643" w:type="dxa"/>
                  <w:vAlign w:val="center"/>
                </w:tcPr>
                <w:p w14:paraId="3D3B35A2">
                  <w:pPr>
                    <w:pStyle w:val="86"/>
                  </w:pPr>
                  <w:r>
                    <w:t xml:space="preserve">17.7 </w:t>
                  </w:r>
                </w:p>
              </w:tc>
              <w:tc>
                <w:tcPr>
                  <w:tcW w:w="906" w:type="dxa"/>
                  <w:vAlign w:val="center"/>
                </w:tcPr>
                <w:p w14:paraId="23856870">
                  <w:pPr>
                    <w:pStyle w:val="86"/>
                  </w:pPr>
                  <w:r>
                    <w:t xml:space="preserve">66.6 </w:t>
                  </w:r>
                </w:p>
              </w:tc>
              <w:tc>
                <w:tcPr>
                  <w:tcW w:w="618" w:type="dxa"/>
                  <w:vMerge w:val="continue"/>
                  <w:vAlign w:val="center"/>
                </w:tcPr>
                <w:p w14:paraId="50044955">
                  <w:pPr>
                    <w:pStyle w:val="86"/>
                    <w:rPr>
                      <w:rFonts w:ascii="Calibri" w:hAnsi="Calibri"/>
                      <w:kern w:val="2"/>
                      <w:sz w:val="24"/>
                      <w:szCs w:val="24"/>
                    </w:rPr>
                  </w:pPr>
                </w:p>
              </w:tc>
              <w:tc>
                <w:tcPr>
                  <w:tcW w:w="906" w:type="dxa"/>
                  <w:vMerge w:val="continue"/>
                  <w:vAlign w:val="center"/>
                </w:tcPr>
                <w:p w14:paraId="4F7E2801">
                  <w:pPr>
                    <w:pStyle w:val="86"/>
                    <w:rPr>
                      <w:rFonts w:ascii="Calibri" w:hAnsi="Calibri"/>
                      <w:kern w:val="2"/>
                      <w:sz w:val="24"/>
                      <w:szCs w:val="24"/>
                    </w:rPr>
                  </w:pPr>
                </w:p>
              </w:tc>
              <w:tc>
                <w:tcPr>
                  <w:tcW w:w="906" w:type="dxa"/>
                  <w:vAlign w:val="center"/>
                </w:tcPr>
                <w:p w14:paraId="35D19E4F">
                  <w:pPr>
                    <w:pStyle w:val="86"/>
                  </w:pPr>
                  <w:r>
                    <w:t xml:space="preserve">41.6 </w:t>
                  </w:r>
                </w:p>
              </w:tc>
              <w:tc>
                <w:tcPr>
                  <w:tcW w:w="527" w:type="dxa"/>
                  <w:vAlign w:val="center"/>
                </w:tcPr>
                <w:p w14:paraId="45B2FE69">
                  <w:pPr>
                    <w:pStyle w:val="86"/>
                  </w:pPr>
                  <w:r>
                    <w:t>1</w:t>
                  </w:r>
                </w:p>
              </w:tc>
            </w:tr>
            <w:tr w14:paraId="5960A88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1579F06F">
                  <w:pPr>
                    <w:pStyle w:val="86"/>
                  </w:pPr>
                  <w:r>
                    <w:t>2</w:t>
                  </w:r>
                </w:p>
              </w:tc>
              <w:tc>
                <w:tcPr>
                  <w:tcW w:w="776" w:type="dxa"/>
                  <w:vMerge w:val="restart"/>
                  <w:vAlign w:val="center"/>
                </w:tcPr>
                <w:p w14:paraId="02099B15">
                  <w:pPr>
                    <w:pStyle w:val="86"/>
                  </w:pPr>
                  <w:r>
                    <w:rPr>
                      <w:rFonts w:hint="eastAsia"/>
                    </w:rPr>
                    <w:t>生产车间</w:t>
                  </w:r>
                </w:p>
              </w:tc>
              <w:tc>
                <w:tcPr>
                  <w:tcW w:w="851" w:type="dxa"/>
                  <w:vMerge w:val="restart"/>
                  <w:vAlign w:val="center"/>
                </w:tcPr>
                <w:p w14:paraId="458F366A">
                  <w:pPr>
                    <w:pStyle w:val="86"/>
                  </w:pPr>
                  <w:r>
                    <w:rPr>
                      <w:rFonts w:hint="eastAsia"/>
                    </w:rPr>
                    <w:t>喂料机</w:t>
                  </w:r>
                </w:p>
              </w:tc>
              <w:tc>
                <w:tcPr>
                  <w:tcW w:w="668" w:type="dxa"/>
                  <w:vMerge w:val="restart"/>
                  <w:vAlign w:val="center"/>
                </w:tcPr>
                <w:p w14:paraId="22276CC9">
                  <w:pPr>
                    <w:pStyle w:val="86"/>
                  </w:pPr>
                  <w:r>
                    <w:t>/</w:t>
                  </w:r>
                </w:p>
              </w:tc>
              <w:tc>
                <w:tcPr>
                  <w:tcW w:w="645" w:type="dxa"/>
                  <w:vMerge w:val="restart"/>
                  <w:vAlign w:val="center"/>
                </w:tcPr>
                <w:p w14:paraId="5D851131">
                  <w:pPr>
                    <w:pStyle w:val="86"/>
                  </w:pPr>
                  <w:r>
                    <w:t xml:space="preserve">2 </w:t>
                  </w:r>
                </w:p>
              </w:tc>
              <w:tc>
                <w:tcPr>
                  <w:tcW w:w="972" w:type="dxa"/>
                  <w:vMerge w:val="restart"/>
                  <w:vAlign w:val="center"/>
                </w:tcPr>
                <w:p w14:paraId="54F16B27">
                  <w:pPr>
                    <w:pStyle w:val="86"/>
                  </w:pPr>
                  <w:r>
                    <w:t>75/1</w:t>
                  </w:r>
                </w:p>
              </w:tc>
              <w:tc>
                <w:tcPr>
                  <w:tcW w:w="470" w:type="dxa"/>
                  <w:vMerge w:val="restart"/>
                  <w:vAlign w:val="center"/>
                </w:tcPr>
                <w:p w14:paraId="4CA895A7">
                  <w:pPr>
                    <w:pStyle w:val="86"/>
                  </w:pPr>
                  <w:r>
                    <w:t>/</w:t>
                  </w:r>
                </w:p>
              </w:tc>
              <w:tc>
                <w:tcPr>
                  <w:tcW w:w="729" w:type="dxa"/>
                  <w:vMerge w:val="restart"/>
                  <w:vAlign w:val="center"/>
                </w:tcPr>
                <w:p w14:paraId="7A820360">
                  <w:pPr>
                    <w:pStyle w:val="86"/>
                  </w:pPr>
                  <w:r>
                    <w:rPr>
                      <w:rFonts w:hint="eastAsia"/>
                    </w:rPr>
                    <w:t>基础减振、厂房隔声</w:t>
                  </w:r>
                </w:p>
              </w:tc>
              <w:tc>
                <w:tcPr>
                  <w:tcW w:w="469" w:type="dxa"/>
                  <w:vMerge w:val="restart"/>
                  <w:vAlign w:val="center"/>
                </w:tcPr>
                <w:p w14:paraId="68C886AA">
                  <w:pPr>
                    <w:pStyle w:val="86"/>
                  </w:pPr>
                  <w:r>
                    <w:t>28</w:t>
                  </w:r>
                </w:p>
              </w:tc>
              <w:tc>
                <w:tcPr>
                  <w:tcW w:w="469" w:type="dxa"/>
                  <w:vMerge w:val="restart"/>
                  <w:vAlign w:val="center"/>
                </w:tcPr>
                <w:p w14:paraId="6FE30D48">
                  <w:pPr>
                    <w:pStyle w:val="86"/>
                  </w:pPr>
                  <w:r>
                    <w:t>19</w:t>
                  </w:r>
                </w:p>
              </w:tc>
              <w:tc>
                <w:tcPr>
                  <w:tcW w:w="414" w:type="dxa"/>
                  <w:vMerge w:val="restart"/>
                  <w:vAlign w:val="center"/>
                </w:tcPr>
                <w:p w14:paraId="74818813">
                  <w:pPr>
                    <w:pStyle w:val="86"/>
                  </w:pPr>
                  <w:r>
                    <w:t>1</w:t>
                  </w:r>
                </w:p>
              </w:tc>
              <w:tc>
                <w:tcPr>
                  <w:tcW w:w="469" w:type="dxa"/>
                  <w:vAlign w:val="center"/>
                </w:tcPr>
                <w:p w14:paraId="284E4A19">
                  <w:pPr>
                    <w:pStyle w:val="86"/>
                  </w:pPr>
                  <w:r>
                    <w:t>东</w:t>
                  </w:r>
                </w:p>
              </w:tc>
              <w:tc>
                <w:tcPr>
                  <w:tcW w:w="643" w:type="dxa"/>
                  <w:vAlign w:val="center"/>
                </w:tcPr>
                <w:p w14:paraId="5E7D6B09">
                  <w:pPr>
                    <w:pStyle w:val="86"/>
                  </w:pPr>
                  <w:r>
                    <w:t xml:space="preserve">64.7 </w:t>
                  </w:r>
                </w:p>
              </w:tc>
              <w:tc>
                <w:tcPr>
                  <w:tcW w:w="906" w:type="dxa"/>
                  <w:vAlign w:val="center"/>
                </w:tcPr>
                <w:p w14:paraId="0C801CD4">
                  <w:pPr>
                    <w:pStyle w:val="86"/>
                  </w:pPr>
                  <w:r>
                    <w:t xml:space="preserve">60.3 </w:t>
                  </w:r>
                </w:p>
              </w:tc>
              <w:tc>
                <w:tcPr>
                  <w:tcW w:w="618" w:type="dxa"/>
                  <w:vMerge w:val="restart"/>
                  <w:vAlign w:val="center"/>
                </w:tcPr>
                <w:p w14:paraId="29DE9B5A">
                  <w:pPr>
                    <w:pStyle w:val="86"/>
                  </w:pPr>
                  <w:r>
                    <w:rPr>
                      <w:rFonts w:hint="eastAsia"/>
                    </w:rPr>
                    <w:t>持续运行</w:t>
                  </w:r>
                </w:p>
              </w:tc>
              <w:tc>
                <w:tcPr>
                  <w:tcW w:w="906" w:type="dxa"/>
                  <w:vMerge w:val="restart"/>
                  <w:vAlign w:val="center"/>
                </w:tcPr>
                <w:p w14:paraId="5BFA9739">
                  <w:pPr>
                    <w:pStyle w:val="86"/>
                  </w:pPr>
                  <w:r>
                    <w:t>25</w:t>
                  </w:r>
                </w:p>
              </w:tc>
              <w:tc>
                <w:tcPr>
                  <w:tcW w:w="906" w:type="dxa"/>
                  <w:vAlign w:val="center"/>
                </w:tcPr>
                <w:p w14:paraId="37884325">
                  <w:pPr>
                    <w:pStyle w:val="86"/>
                  </w:pPr>
                  <w:r>
                    <w:t xml:space="preserve">35.3 </w:t>
                  </w:r>
                </w:p>
              </w:tc>
              <w:tc>
                <w:tcPr>
                  <w:tcW w:w="527" w:type="dxa"/>
                  <w:vAlign w:val="center"/>
                </w:tcPr>
                <w:p w14:paraId="0184A954">
                  <w:pPr>
                    <w:pStyle w:val="86"/>
                  </w:pPr>
                  <w:r>
                    <w:t>1</w:t>
                  </w:r>
                </w:p>
              </w:tc>
            </w:tr>
            <w:tr w14:paraId="43B24B0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6C2EE311">
                  <w:pPr>
                    <w:pStyle w:val="86"/>
                    <w:rPr>
                      <w:rFonts w:ascii="Calibri" w:hAnsi="Calibri"/>
                      <w:kern w:val="2"/>
                      <w:sz w:val="24"/>
                      <w:szCs w:val="24"/>
                    </w:rPr>
                  </w:pPr>
                </w:p>
              </w:tc>
              <w:tc>
                <w:tcPr>
                  <w:tcW w:w="776" w:type="dxa"/>
                  <w:vMerge w:val="continue"/>
                  <w:vAlign w:val="center"/>
                </w:tcPr>
                <w:p w14:paraId="5DC9F12B">
                  <w:pPr>
                    <w:pStyle w:val="86"/>
                    <w:rPr>
                      <w:rFonts w:ascii="Calibri" w:hAnsi="Calibri"/>
                      <w:kern w:val="2"/>
                      <w:sz w:val="24"/>
                      <w:szCs w:val="24"/>
                    </w:rPr>
                  </w:pPr>
                </w:p>
              </w:tc>
              <w:tc>
                <w:tcPr>
                  <w:tcW w:w="851" w:type="dxa"/>
                  <w:vMerge w:val="continue"/>
                  <w:vAlign w:val="center"/>
                </w:tcPr>
                <w:p w14:paraId="2735F157">
                  <w:pPr>
                    <w:pStyle w:val="86"/>
                    <w:rPr>
                      <w:rFonts w:ascii="Calibri" w:hAnsi="Calibri"/>
                      <w:kern w:val="2"/>
                      <w:sz w:val="24"/>
                      <w:szCs w:val="24"/>
                    </w:rPr>
                  </w:pPr>
                </w:p>
              </w:tc>
              <w:tc>
                <w:tcPr>
                  <w:tcW w:w="668" w:type="dxa"/>
                  <w:vMerge w:val="continue"/>
                  <w:vAlign w:val="center"/>
                </w:tcPr>
                <w:p w14:paraId="5B784D9A">
                  <w:pPr>
                    <w:pStyle w:val="86"/>
                    <w:rPr>
                      <w:rFonts w:ascii="Calibri" w:hAnsi="Calibri"/>
                      <w:kern w:val="2"/>
                      <w:sz w:val="24"/>
                      <w:szCs w:val="24"/>
                    </w:rPr>
                  </w:pPr>
                </w:p>
              </w:tc>
              <w:tc>
                <w:tcPr>
                  <w:tcW w:w="645" w:type="dxa"/>
                  <w:vMerge w:val="continue"/>
                  <w:vAlign w:val="center"/>
                </w:tcPr>
                <w:p w14:paraId="3145F339">
                  <w:pPr>
                    <w:pStyle w:val="86"/>
                    <w:rPr>
                      <w:rFonts w:ascii="Calibri" w:hAnsi="Calibri"/>
                      <w:kern w:val="2"/>
                      <w:sz w:val="24"/>
                      <w:szCs w:val="24"/>
                    </w:rPr>
                  </w:pPr>
                </w:p>
              </w:tc>
              <w:tc>
                <w:tcPr>
                  <w:tcW w:w="972" w:type="dxa"/>
                  <w:vMerge w:val="continue"/>
                  <w:vAlign w:val="center"/>
                </w:tcPr>
                <w:p w14:paraId="6390A939">
                  <w:pPr>
                    <w:pStyle w:val="86"/>
                    <w:rPr>
                      <w:rFonts w:ascii="Calibri" w:hAnsi="Calibri"/>
                      <w:kern w:val="2"/>
                      <w:sz w:val="24"/>
                      <w:szCs w:val="24"/>
                    </w:rPr>
                  </w:pPr>
                </w:p>
              </w:tc>
              <w:tc>
                <w:tcPr>
                  <w:tcW w:w="470" w:type="dxa"/>
                  <w:vMerge w:val="continue"/>
                  <w:vAlign w:val="center"/>
                </w:tcPr>
                <w:p w14:paraId="3FB8CF8A">
                  <w:pPr>
                    <w:pStyle w:val="86"/>
                    <w:rPr>
                      <w:rFonts w:ascii="Calibri" w:hAnsi="Calibri"/>
                      <w:kern w:val="2"/>
                      <w:sz w:val="24"/>
                      <w:szCs w:val="24"/>
                    </w:rPr>
                  </w:pPr>
                </w:p>
              </w:tc>
              <w:tc>
                <w:tcPr>
                  <w:tcW w:w="729" w:type="dxa"/>
                  <w:vMerge w:val="continue"/>
                  <w:vAlign w:val="center"/>
                </w:tcPr>
                <w:p w14:paraId="2FFEC730">
                  <w:pPr>
                    <w:pStyle w:val="86"/>
                    <w:rPr>
                      <w:rFonts w:ascii="Calibri" w:hAnsi="Calibri"/>
                      <w:kern w:val="2"/>
                      <w:sz w:val="24"/>
                      <w:szCs w:val="24"/>
                    </w:rPr>
                  </w:pPr>
                </w:p>
              </w:tc>
              <w:tc>
                <w:tcPr>
                  <w:tcW w:w="469" w:type="dxa"/>
                  <w:vMerge w:val="continue"/>
                  <w:vAlign w:val="center"/>
                </w:tcPr>
                <w:p w14:paraId="5C2C3F0C">
                  <w:pPr>
                    <w:pStyle w:val="86"/>
                    <w:rPr>
                      <w:rFonts w:ascii="Calibri" w:hAnsi="Calibri"/>
                      <w:kern w:val="2"/>
                      <w:sz w:val="24"/>
                      <w:szCs w:val="24"/>
                    </w:rPr>
                  </w:pPr>
                </w:p>
              </w:tc>
              <w:tc>
                <w:tcPr>
                  <w:tcW w:w="469" w:type="dxa"/>
                  <w:vMerge w:val="continue"/>
                  <w:vAlign w:val="center"/>
                </w:tcPr>
                <w:p w14:paraId="287B9B8F">
                  <w:pPr>
                    <w:pStyle w:val="86"/>
                    <w:rPr>
                      <w:rFonts w:ascii="Calibri" w:hAnsi="Calibri"/>
                      <w:kern w:val="2"/>
                      <w:sz w:val="24"/>
                      <w:szCs w:val="24"/>
                    </w:rPr>
                  </w:pPr>
                </w:p>
              </w:tc>
              <w:tc>
                <w:tcPr>
                  <w:tcW w:w="414" w:type="dxa"/>
                  <w:vMerge w:val="continue"/>
                  <w:vAlign w:val="center"/>
                </w:tcPr>
                <w:p w14:paraId="290B7B84">
                  <w:pPr>
                    <w:pStyle w:val="86"/>
                    <w:rPr>
                      <w:rFonts w:ascii="Calibri" w:hAnsi="Calibri"/>
                      <w:kern w:val="2"/>
                      <w:sz w:val="24"/>
                      <w:szCs w:val="24"/>
                    </w:rPr>
                  </w:pPr>
                </w:p>
              </w:tc>
              <w:tc>
                <w:tcPr>
                  <w:tcW w:w="469" w:type="dxa"/>
                  <w:vAlign w:val="center"/>
                </w:tcPr>
                <w:p w14:paraId="388E4421">
                  <w:pPr>
                    <w:pStyle w:val="86"/>
                  </w:pPr>
                  <w:r>
                    <w:t>南</w:t>
                  </w:r>
                </w:p>
              </w:tc>
              <w:tc>
                <w:tcPr>
                  <w:tcW w:w="643" w:type="dxa"/>
                  <w:vAlign w:val="center"/>
                </w:tcPr>
                <w:p w14:paraId="44D88346">
                  <w:pPr>
                    <w:pStyle w:val="86"/>
                  </w:pPr>
                  <w:r>
                    <w:t xml:space="preserve">27.7 </w:t>
                  </w:r>
                </w:p>
              </w:tc>
              <w:tc>
                <w:tcPr>
                  <w:tcW w:w="906" w:type="dxa"/>
                  <w:vAlign w:val="center"/>
                </w:tcPr>
                <w:p w14:paraId="4130F3BD">
                  <w:pPr>
                    <w:pStyle w:val="86"/>
                  </w:pPr>
                  <w:r>
                    <w:t xml:space="preserve">60.8 </w:t>
                  </w:r>
                </w:p>
              </w:tc>
              <w:tc>
                <w:tcPr>
                  <w:tcW w:w="618" w:type="dxa"/>
                  <w:vMerge w:val="continue"/>
                  <w:vAlign w:val="center"/>
                </w:tcPr>
                <w:p w14:paraId="0E03754D">
                  <w:pPr>
                    <w:pStyle w:val="86"/>
                    <w:rPr>
                      <w:rFonts w:ascii="Calibri" w:hAnsi="Calibri"/>
                      <w:kern w:val="2"/>
                      <w:sz w:val="24"/>
                      <w:szCs w:val="24"/>
                    </w:rPr>
                  </w:pPr>
                </w:p>
              </w:tc>
              <w:tc>
                <w:tcPr>
                  <w:tcW w:w="906" w:type="dxa"/>
                  <w:vMerge w:val="continue"/>
                  <w:vAlign w:val="center"/>
                </w:tcPr>
                <w:p w14:paraId="35B7C412">
                  <w:pPr>
                    <w:pStyle w:val="86"/>
                    <w:rPr>
                      <w:rFonts w:ascii="Calibri" w:hAnsi="Calibri"/>
                      <w:kern w:val="2"/>
                      <w:sz w:val="24"/>
                      <w:szCs w:val="24"/>
                    </w:rPr>
                  </w:pPr>
                </w:p>
              </w:tc>
              <w:tc>
                <w:tcPr>
                  <w:tcW w:w="906" w:type="dxa"/>
                  <w:vAlign w:val="center"/>
                </w:tcPr>
                <w:p w14:paraId="65E9A9BF">
                  <w:pPr>
                    <w:pStyle w:val="86"/>
                  </w:pPr>
                  <w:r>
                    <w:t xml:space="preserve">35.8 </w:t>
                  </w:r>
                </w:p>
              </w:tc>
              <w:tc>
                <w:tcPr>
                  <w:tcW w:w="527" w:type="dxa"/>
                  <w:vAlign w:val="center"/>
                </w:tcPr>
                <w:p w14:paraId="502201F7">
                  <w:pPr>
                    <w:pStyle w:val="86"/>
                  </w:pPr>
                  <w:r>
                    <w:t>1</w:t>
                  </w:r>
                </w:p>
              </w:tc>
            </w:tr>
            <w:tr w14:paraId="402E2A7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29F62843">
                  <w:pPr>
                    <w:pStyle w:val="86"/>
                    <w:rPr>
                      <w:rFonts w:ascii="Calibri" w:hAnsi="Calibri"/>
                      <w:kern w:val="2"/>
                      <w:sz w:val="24"/>
                      <w:szCs w:val="24"/>
                    </w:rPr>
                  </w:pPr>
                </w:p>
              </w:tc>
              <w:tc>
                <w:tcPr>
                  <w:tcW w:w="776" w:type="dxa"/>
                  <w:vMerge w:val="continue"/>
                  <w:vAlign w:val="center"/>
                </w:tcPr>
                <w:p w14:paraId="63735373">
                  <w:pPr>
                    <w:pStyle w:val="86"/>
                    <w:rPr>
                      <w:rFonts w:ascii="Calibri" w:hAnsi="Calibri"/>
                      <w:kern w:val="2"/>
                      <w:sz w:val="24"/>
                      <w:szCs w:val="24"/>
                    </w:rPr>
                  </w:pPr>
                </w:p>
              </w:tc>
              <w:tc>
                <w:tcPr>
                  <w:tcW w:w="851" w:type="dxa"/>
                  <w:vMerge w:val="continue"/>
                  <w:vAlign w:val="center"/>
                </w:tcPr>
                <w:p w14:paraId="5A555D0F">
                  <w:pPr>
                    <w:pStyle w:val="86"/>
                    <w:rPr>
                      <w:rFonts w:ascii="Calibri" w:hAnsi="Calibri"/>
                      <w:kern w:val="2"/>
                      <w:sz w:val="24"/>
                      <w:szCs w:val="24"/>
                    </w:rPr>
                  </w:pPr>
                </w:p>
              </w:tc>
              <w:tc>
                <w:tcPr>
                  <w:tcW w:w="668" w:type="dxa"/>
                  <w:vMerge w:val="continue"/>
                  <w:vAlign w:val="center"/>
                </w:tcPr>
                <w:p w14:paraId="17DFF313">
                  <w:pPr>
                    <w:pStyle w:val="86"/>
                    <w:rPr>
                      <w:rFonts w:ascii="Calibri" w:hAnsi="Calibri"/>
                      <w:kern w:val="2"/>
                      <w:sz w:val="24"/>
                      <w:szCs w:val="24"/>
                    </w:rPr>
                  </w:pPr>
                </w:p>
              </w:tc>
              <w:tc>
                <w:tcPr>
                  <w:tcW w:w="645" w:type="dxa"/>
                  <w:vMerge w:val="continue"/>
                  <w:vAlign w:val="center"/>
                </w:tcPr>
                <w:p w14:paraId="057CE597">
                  <w:pPr>
                    <w:pStyle w:val="86"/>
                    <w:rPr>
                      <w:rFonts w:ascii="Calibri" w:hAnsi="Calibri"/>
                      <w:kern w:val="2"/>
                      <w:sz w:val="24"/>
                      <w:szCs w:val="24"/>
                    </w:rPr>
                  </w:pPr>
                </w:p>
              </w:tc>
              <w:tc>
                <w:tcPr>
                  <w:tcW w:w="972" w:type="dxa"/>
                  <w:vMerge w:val="continue"/>
                  <w:vAlign w:val="center"/>
                </w:tcPr>
                <w:p w14:paraId="2380827C">
                  <w:pPr>
                    <w:pStyle w:val="86"/>
                    <w:rPr>
                      <w:rFonts w:ascii="Calibri" w:hAnsi="Calibri"/>
                      <w:kern w:val="2"/>
                      <w:sz w:val="24"/>
                      <w:szCs w:val="24"/>
                    </w:rPr>
                  </w:pPr>
                </w:p>
              </w:tc>
              <w:tc>
                <w:tcPr>
                  <w:tcW w:w="470" w:type="dxa"/>
                  <w:vMerge w:val="continue"/>
                  <w:vAlign w:val="center"/>
                </w:tcPr>
                <w:p w14:paraId="141AA478">
                  <w:pPr>
                    <w:pStyle w:val="86"/>
                    <w:rPr>
                      <w:rFonts w:ascii="Calibri" w:hAnsi="Calibri"/>
                      <w:kern w:val="2"/>
                      <w:sz w:val="24"/>
                      <w:szCs w:val="24"/>
                    </w:rPr>
                  </w:pPr>
                </w:p>
              </w:tc>
              <w:tc>
                <w:tcPr>
                  <w:tcW w:w="729" w:type="dxa"/>
                  <w:vMerge w:val="continue"/>
                  <w:vAlign w:val="center"/>
                </w:tcPr>
                <w:p w14:paraId="5D2445C4">
                  <w:pPr>
                    <w:pStyle w:val="86"/>
                    <w:rPr>
                      <w:rFonts w:ascii="Calibri" w:hAnsi="Calibri"/>
                      <w:kern w:val="2"/>
                      <w:sz w:val="24"/>
                      <w:szCs w:val="24"/>
                    </w:rPr>
                  </w:pPr>
                </w:p>
              </w:tc>
              <w:tc>
                <w:tcPr>
                  <w:tcW w:w="469" w:type="dxa"/>
                  <w:vMerge w:val="continue"/>
                  <w:vAlign w:val="center"/>
                </w:tcPr>
                <w:p w14:paraId="5395568E">
                  <w:pPr>
                    <w:pStyle w:val="86"/>
                    <w:rPr>
                      <w:rFonts w:ascii="Calibri" w:hAnsi="Calibri"/>
                      <w:kern w:val="2"/>
                      <w:sz w:val="24"/>
                      <w:szCs w:val="24"/>
                    </w:rPr>
                  </w:pPr>
                </w:p>
              </w:tc>
              <w:tc>
                <w:tcPr>
                  <w:tcW w:w="469" w:type="dxa"/>
                  <w:vMerge w:val="continue"/>
                  <w:vAlign w:val="center"/>
                </w:tcPr>
                <w:p w14:paraId="23266413">
                  <w:pPr>
                    <w:pStyle w:val="86"/>
                    <w:rPr>
                      <w:rFonts w:ascii="Calibri" w:hAnsi="Calibri"/>
                      <w:kern w:val="2"/>
                      <w:sz w:val="24"/>
                      <w:szCs w:val="24"/>
                    </w:rPr>
                  </w:pPr>
                </w:p>
              </w:tc>
              <w:tc>
                <w:tcPr>
                  <w:tcW w:w="414" w:type="dxa"/>
                  <w:vMerge w:val="continue"/>
                  <w:vAlign w:val="center"/>
                </w:tcPr>
                <w:p w14:paraId="12D9E241">
                  <w:pPr>
                    <w:pStyle w:val="86"/>
                    <w:rPr>
                      <w:rFonts w:ascii="Calibri" w:hAnsi="Calibri"/>
                      <w:kern w:val="2"/>
                      <w:sz w:val="24"/>
                      <w:szCs w:val="24"/>
                    </w:rPr>
                  </w:pPr>
                </w:p>
              </w:tc>
              <w:tc>
                <w:tcPr>
                  <w:tcW w:w="469" w:type="dxa"/>
                  <w:vAlign w:val="center"/>
                </w:tcPr>
                <w:p w14:paraId="4BC997AD">
                  <w:pPr>
                    <w:pStyle w:val="86"/>
                  </w:pPr>
                  <w:r>
                    <w:t>西</w:t>
                  </w:r>
                </w:p>
              </w:tc>
              <w:tc>
                <w:tcPr>
                  <w:tcW w:w="643" w:type="dxa"/>
                  <w:vAlign w:val="center"/>
                </w:tcPr>
                <w:p w14:paraId="0FCCAD4E">
                  <w:pPr>
                    <w:pStyle w:val="86"/>
                  </w:pPr>
                  <w:r>
                    <w:t xml:space="preserve">27.3 </w:t>
                  </w:r>
                </w:p>
              </w:tc>
              <w:tc>
                <w:tcPr>
                  <w:tcW w:w="906" w:type="dxa"/>
                  <w:vAlign w:val="center"/>
                </w:tcPr>
                <w:p w14:paraId="3A213A91">
                  <w:pPr>
                    <w:pStyle w:val="86"/>
                  </w:pPr>
                  <w:r>
                    <w:t xml:space="preserve">60.8 </w:t>
                  </w:r>
                </w:p>
              </w:tc>
              <w:tc>
                <w:tcPr>
                  <w:tcW w:w="618" w:type="dxa"/>
                  <w:vMerge w:val="continue"/>
                  <w:vAlign w:val="center"/>
                </w:tcPr>
                <w:p w14:paraId="27D08D1E">
                  <w:pPr>
                    <w:pStyle w:val="86"/>
                    <w:rPr>
                      <w:rFonts w:ascii="Calibri" w:hAnsi="Calibri"/>
                      <w:kern w:val="2"/>
                      <w:sz w:val="24"/>
                      <w:szCs w:val="24"/>
                    </w:rPr>
                  </w:pPr>
                </w:p>
              </w:tc>
              <w:tc>
                <w:tcPr>
                  <w:tcW w:w="906" w:type="dxa"/>
                  <w:vMerge w:val="continue"/>
                  <w:vAlign w:val="center"/>
                </w:tcPr>
                <w:p w14:paraId="06C27378">
                  <w:pPr>
                    <w:pStyle w:val="86"/>
                    <w:rPr>
                      <w:rFonts w:ascii="Calibri" w:hAnsi="Calibri"/>
                      <w:kern w:val="2"/>
                      <w:sz w:val="24"/>
                      <w:szCs w:val="24"/>
                    </w:rPr>
                  </w:pPr>
                </w:p>
              </w:tc>
              <w:tc>
                <w:tcPr>
                  <w:tcW w:w="906" w:type="dxa"/>
                  <w:vAlign w:val="center"/>
                </w:tcPr>
                <w:p w14:paraId="6CD48594">
                  <w:pPr>
                    <w:pStyle w:val="86"/>
                  </w:pPr>
                  <w:r>
                    <w:t xml:space="preserve">35.8 </w:t>
                  </w:r>
                </w:p>
              </w:tc>
              <w:tc>
                <w:tcPr>
                  <w:tcW w:w="527" w:type="dxa"/>
                  <w:vAlign w:val="center"/>
                </w:tcPr>
                <w:p w14:paraId="30156771">
                  <w:pPr>
                    <w:pStyle w:val="86"/>
                  </w:pPr>
                  <w:r>
                    <w:t>1</w:t>
                  </w:r>
                </w:p>
              </w:tc>
            </w:tr>
            <w:tr w14:paraId="63130AB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461F53CC">
                  <w:pPr>
                    <w:pStyle w:val="86"/>
                    <w:rPr>
                      <w:rFonts w:ascii="Calibri" w:hAnsi="Calibri"/>
                      <w:kern w:val="2"/>
                      <w:sz w:val="24"/>
                      <w:szCs w:val="24"/>
                    </w:rPr>
                  </w:pPr>
                </w:p>
              </w:tc>
              <w:tc>
                <w:tcPr>
                  <w:tcW w:w="776" w:type="dxa"/>
                  <w:vMerge w:val="continue"/>
                  <w:vAlign w:val="center"/>
                </w:tcPr>
                <w:p w14:paraId="3ADE80AB">
                  <w:pPr>
                    <w:pStyle w:val="86"/>
                    <w:rPr>
                      <w:rFonts w:ascii="Calibri" w:hAnsi="Calibri"/>
                      <w:kern w:val="2"/>
                      <w:sz w:val="24"/>
                      <w:szCs w:val="24"/>
                    </w:rPr>
                  </w:pPr>
                </w:p>
              </w:tc>
              <w:tc>
                <w:tcPr>
                  <w:tcW w:w="851" w:type="dxa"/>
                  <w:vMerge w:val="continue"/>
                  <w:vAlign w:val="center"/>
                </w:tcPr>
                <w:p w14:paraId="04FAE582">
                  <w:pPr>
                    <w:pStyle w:val="86"/>
                    <w:rPr>
                      <w:rFonts w:ascii="Calibri" w:hAnsi="Calibri"/>
                      <w:kern w:val="2"/>
                      <w:sz w:val="24"/>
                      <w:szCs w:val="24"/>
                    </w:rPr>
                  </w:pPr>
                </w:p>
              </w:tc>
              <w:tc>
                <w:tcPr>
                  <w:tcW w:w="668" w:type="dxa"/>
                  <w:vMerge w:val="continue"/>
                  <w:vAlign w:val="center"/>
                </w:tcPr>
                <w:p w14:paraId="28436759">
                  <w:pPr>
                    <w:pStyle w:val="86"/>
                    <w:rPr>
                      <w:rFonts w:ascii="Calibri" w:hAnsi="Calibri"/>
                      <w:kern w:val="2"/>
                      <w:sz w:val="24"/>
                      <w:szCs w:val="24"/>
                    </w:rPr>
                  </w:pPr>
                </w:p>
              </w:tc>
              <w:tc>
                <w:tcPr>
                  <w:tcW w:w="645" w:type="dxa"/>
                  <w:vMerge w:val="continue"/>
                  <w:vAlign w:val="center"/>
                </w:tcPr>
                <w:p w14:paraId="3CE080DF">
                  <w:pPr>
                    <w:pStyle w:val="86"/>
                    <w:rPr>
                      <w:rFonts w:ascii="Calibri" w:hAnsi="Calibri"/>
                      <w:kern w:val="2"/>
                      <w:sz w:val="24"/>
                      <w:szCs w:val="24"/>
                    </w:rPr>
                  </w:pPr>
                </w:p>
              </w:tc>
              <w:tc>
                <w:tcPr>
                  <w:tcW w:w="972" w:type="dxa"/>
                  <w:vMerge w:val="continue"/>
                  <w:vAlign w:val="center"/>
                </w:tcPr>
                <w:p w14:paraId="0BBCC60E">
                  <w:pPr>
                    <w:pStyle w:val="86"/>
                    <w:rPr>
                      <w:rFonts w:ascii="Calibri" w:hAnsi="Calibri"/>
                      <w:kern w:val="2"/>
                      <w:sz w:val="24"/>
                      <w:szCs w:val="24"/>
                    </w:rPr>
                  </w:pPr>
                </w:p>
              </w:tc>
              <w:tc>
                <w:tcPr>
                  <w:tcW w:w="470" w:type="dxa"/>
                  <w:vMerge w:val="continue"/>
                  <w:vAlign w:val="center"/>
                </w:tcPr>
                <w:p w14:paraId="6406AECC">
                  <w:pPr>
                    <w:pStyle w:val="86"/>
                    <w:rPr>
                      <w:rFonts w:ascii="Calibri" w:hAnsi="Calibri"/>
                      <w:kern w:val="2"/>
                      <w:sz w:val="24"/>
                      <w:szCs w:val="24"/>
                    </w:rPr>
                  </w:pPr>
                </w:p>
              </w:tc>
              <w:tc>
                <w:tcPr>
                  <w:tcW w:w="729" w:type="dxa"/>
                  <w:vMerge w:val="continue"/>
                  <w:vAlign w:val="center"/>
                </w:tcPr>
                <w:p w14:paraId="6F6CAC49">
                  <w:pPr>
                    <w:pStyle w:val="86"/>
                    <w:rPr>
                      <w:rFonts w:ascii="Calibri" w:hAnsi="Calibri"/>
                      <w:kern w:val="2"/>
                      <w:sz w:val="24"/>
                      <w:szCs w:val="24"/>
                    </w:rPr>
                  </w:pPr>
                </w:p>
              </w:tc>
              <w:tc>
                <w:tcPr>
                  <w:tcW w:w="469" w:type="dxa"/>
                  <w:vMerge w:val="continue"/>
                  <w:vAlign w:val="center"/>
                </w:tcPr>
                <w:p w14:paraId="371A671A">
                  <w:pPr>
                    <w:pStyle w:val="86"/>
                    <w:rPr>
                      <w:rFonts w:ascii="Calibri" w:hAnsi="Calibri"/>
                      <w:kern w:val="2"/>
                      <w:sz w:val="24"/>
                      <w:szCs w:val="24"/>
                    </w:rPr>
                  </w:pPr>
                </w:p>
              </w:tc>
              <w:tc>
                <w:tcPr>
                  <w:tcW w:w="469" w:type="dxa"/>
                  <w:vMerge w:val="continue"/>
                  <w:vAlign w:val="center"/>
                </w:tcPr>
                <w:p w14:paraId="0AF23095">
                  <w:pPr>
                    <w:pStyle w:val="86"/>
                    <w:rPr>
                      <w:rFonts w:ascii="Calibri" w:hAnsi="Calibri"/>
                      <w:kern w:val="2"/>
                      <w:sz w:val="24"/>
                      <w:szCs w:val="24"/>
                    </w:rPr>
                  </w:pPr>
                </w:p>
              </w:tc>
              <w:tc>
                <w:tcPr>
                  <w:tcW w:w="414" w:type="dxa"/>
                  <w:vMerge w:val="continue"/>
                  <w:vAlign w:val="center"/>
                </w:tcPr>
                <w:p w14:paraId="083E7955">
                  <w:pPr>
                    <w:pStyle w:val="86"/>
                    <w:rPr>
                      <w:rFonts w:ascii="Calibri" w:hAnsi="Calibri"/>
                      <w:kern w:val="2"/>
                      <w:sz w:val="24"/>
                      <w:szCs w:val="24"/>
                    </w:rPr>
                  </w:pPr>
                </w:p>
              </w:tc>
              <w:tc>
                <w:tcPr>
                  <w:tcW w:w="469" w:type="dxa"/>
                  <w:vAlign w:val="center"/>
                </w:tcPr>
                <w:p w14:paraId="5FC16401">
                  <w:pPr>
                    <w:pStyle w:val="86"/>
                  </w:pPr>
                  <w:r>
                    <w:t>北</w:t>
                  </w:r>
                </w:p>
              </w:tc>
              <w:tc>
                <w:tcPr>
                  <w:tcW w:w="643" w:type="dxa"/>
                  <w:vAlign w:val="center"/>
                </w:tcPr>
                <w:p w14:paraId="19266810">
                  <w:pPr>
                    <w:pStyle w:val="86"/>
                  </w:pPr>
                  <w:r>
                    <w:t xml:space="preserve">21.5 </w:t>
                  </w:r>
                </w:p>
              </w:tc>
              <w:tc>
                <w:tcPr>
                  <w:tcW w:w="906" w:type="dxa"/>
                  <w:vAlign w:val="center"/>
                </w:tcPr>
                <w:p w14:paraId="7172DE4A">
                  <w:pPr>
                    <w:pStyle w:val="86"/>
                  </w:pPr>
                  <w:r>
                    <w:t xml:space="preserve">61.2 </w:t>
                  </w:r>
                </w:p>
              </w:tc>
              <w:tc>
                <w:tcPr>
                  <w:tcW w:w="618" w:type="dxa"/>
                  <w:vMerge w:val="continue"/>
                  <w:vAlign w:val="center"/>
                </w:tcPr>
                <w:p w14:paraId="5EC6AABA">
                  <w:pPr>
                    <w:pStyle w:val="86"/>
                    <w:rPr>
                      <w:rFonts w:ascii="Calibri" w:hAnsi="Calibri"/>
                      <w:kern w:val="2"/>
                      <w:sz w:val="24"/>
                      <w:szCs w:val="24"/>
                    </w:rPr>
                  </w:pPr>
                </w:p>
              </w:tc>
              <w:tc>
                <w:tcPr>
                  <w:tcW w:w="906" w:type="dxa"/>
                  <w:vMerge w:val="continue"/>
                  <w:vAlign w:val="center"/>
                </w:tcPr>
                <w:p w14:paraId="06908681">
                  <w:pPr>
                    <w:pStyle w:val="86"/>
                    <w:rPr>
                      <w:rFonts w:ascii="Calibri" w:hAnsi="Calibri"/>
                      <w:kern w:val="2"/>
                      <w:sz w:val="24"/>
                      <w:szCs w:val="24"/>
                    </w:rPr>
                  </w:pPr>
                </w:p>
              </w:tc>
              <w:tc>
                <w:tcPr>
                  <w:tcW w:w="906" w:type="dxa"/>
                  <w:vAlign w:val="center"/>
                </w:tcPr>
                <w:p w14:paraId="7184A9AC">
                  <w:pPr>
                    <w:pStyle w:val="86"/>
                  </w:pPr>
                  <w:r>
                    <w:t xml:space="preserve">36.2 </w:t>
                  </w:r>
                </w:p>
              </w:tc>
              <w:tc>
                <w:tcPr>
                  <w:tcW w:w="527" w:type="dxa"/>
                  <w:vAlign w:val="center"/>
                </w:tcPr>
                <w:p w14:paraId="096E2F23">
                  <w:pPr>
                    <w:pStyle w:val="86"/>
                  </w:pPr>
                  <w:r>
                    <w:t>1</w:t>
                  </w:r>
                </w:p>
              </w:tc>
            </w:tr>
            <w:tr w14:paraId="70AD337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6C8FB0E6">
                  <w:pPr>
                    <w:pStyle w:val="86"/>
                  </w:pPr>
                  <w:r>
                    <w:t>3</w:t>
                  </w:r>
                </w:p>
              </w:tc>
              <w:tc>
                <w:tcPr>
                  <w:tcW w:w="776" w:type="dxa"/>
                  <w:vMerge w:val="restart"/>
                  <w:vAlign w:val="center"/>
                </w:tcPr>
                <w:p w14:paraId="5F826941">
                  <w:pPr>
                    <w:pStyle w:val="86"/>
                  </w:pPr>
                  <w:r>
                    <w:rPr>
                      <w:rFonts w:hint="eastAsia"/>
                    </w:rPr>
                    <w:t>生产车间</w:t>
                  </w:r>
                </w:p>
              </w:tc>
              <w:tc>
                <w:tcPr>
                  <w:tcW w:w="851" w:type="dxa"/>
                  <w:vMerge w:val="restart"/>
                  <w:vAlign w:val="center"/>
                </w:tcPr>
                <w:p w14:paraId="290CCCA3">
                  <w:pPr>
                    <w:pStyle w:val="86"/>
                  </w:pPr>
                  <w:r>
                    <w:rPr>
                      <w:rFonts w:hint="eastAsia"/>
                    </w:rPr>
                    <w:t>清洗机</w:t>
                  </w:r>
                </w:p>
              </w:tc>
              <w:tc>
                <w:tcPr>
                  <w:tcW w:w="668" w:type="dxa"/>
                  <w:vMerge w:val="restart"/>
                  <w:vAlign w:val="center"/>
                </w:tcPr>
                <w:p w14:paraId="6B1363E0">
                  <w:pPr>
                    <w:pStyle w:val="86"/>
                  </w:pPr>
                  <w:r>
                    <w:t>/</w:t>
                  </w:r>
                </w:p>
              </w:tc>
              <w:tc>
                <w:tcPr>
                  <w:tcW w:w="645" w:type="dxa"/>
                  <w:vMerge w:val="restart"/>
                  <w:vAlign w:val="center"/>
                </w:tcPr>
                <w:p w14:paraId="61EB8055">
                  <w:pPr>
                    <w:pStyle w:val="86"/>
                  </w:pPr>
                  <w:r>
                    <w:t xml:space="preserve">2 </w:t>
                  </w:r>
                </w:p>
              </w:tc>
              <w:tc>
                <w:tcPr>
                  <w:tcW w:w="972" w:type="dxa"/>
                  <w:vMerge w:val="restart"/>
                  <w:vAlign w:val="center"/>
                </w:tcPr>
                <w:p w14:paraId="22A735BE">
                  <w:pPr>
                    <w:pStyle w:val="86"/>
                  </w:pPr>
                  <w:r>
                    <w:t>80/1</w:t>
                  </w:r>
                </w:p>
              </w:tc>
              <w:tc>
                <w:tcPr>
                  <w:tcW w:w="470" w:type="dxa"/>
                  <w:vMerge w:val="restart"/>
                  <w:vAlign w:val="center"/>
                </w:tcPr>
                <w:p w14:paraId="03C56CFB">
                  <w:pPr>
                    <w:pStyle w:val="86"/>
                  </w:pPr>
                  <w:r>
                    <w:t>/</w:t>
                  </w:r>
                </w:p>
              </w:tc>
              <w:tc>
                <w:tcPr>
                  <w:tcW w:w="729" w:type="dxa"/>
                  <w:vMerge w:val="restart"/>
                  <w:vAlign w:val="center"/>
                </w:tcPr>
                <w:p w14:paraId="47F27A14">
                  <w:pPr>
                    <w:pStyle w:val="86"/>
                  </w:pPr>
                  <w:r>
                    <w:rPr>
                      <w:rFonts w:hint="eastAsia"/>
                    </w:rPr>
                    <w:t>基础减振、厂房隔声</w:t>
                  </w:r>
                </w:p>
              </w:tc>
              <w:tc>
                <w:tcPr>
                  <w:tcW w:w="469" w:type="dxa"/>
                  <w:vMerge w:val="restart"/>
                  <w:vAlign w:val="center"/>
                </w:tcPr>
                <w:p w14:paraId="3C422124">
                  <w:pPr>
                    <w:pStyle w:val="86"/>
                  </w:pPr>
                  <w:r>
                    <w:t>33</w:t>
                  </w:r>
                </w:p>
              </w:tc>
              <w:tc>
                <w:tcPr>
                  <w:tcW w:w="469" w:type="dxa"/>
                  <w:vMerge w:val="restart"/>
                  <w:vAlign w:val="center"/>
                </w:tcPr>
                <w:p w14:paraId="4FFE2DAE">
                  <w:pPr>
                    <w:pStyle w:val="86"/>
                  </w:pPr>
                  <w:r>
                    <w:t>18</w:t>
                  </w:r>
                </w:p>
              </w:tc>
              <w:tc>
                <w:tcPr>
                  <w:tcW w:w="414" w:type="dxa"/>
                  <w:vMerge w:val="restart"/>
                  <w:vAlign w:val="center"/>
                </w:tcPr>
                <w:p w14:paraId="652B509D">
                  <w:pPr>
                    <w:pStyle w:val="86"/>
                  </w:pPr>
                  <w:r>
                    <w:t>1</w:t>
                  </w:r>
                </w:p>
              </w:tc>
              <w:tc>
                <w:tcPr>
                  <w:tcW w:w="469" w:type="dxa"/>
                  <w:vAlign w:val="center"/>
                </w:tcPr>
                <w:p w14:paraId="49C08029">
                  <w:pPr>
                    <w:pStyle w:val="86"/>
                  </w:pPr>
                  <w:r>
                    <w:t>东</w:t>
                  </w:r>
                </w:p>
              </w:tc>
              <w:tc>
                <w:tcPr>
                  <w:tcW w:w="643" w:type="dxa"/>
                  <w:vAlign w:val="center"/>
                </w:tcPr>
                <w:p w14:paraId="790178A9">
                  <w:pPr>
                    <w:pStyle w:val="86"/>
                  </w:pPr>
                  <w:r>
                    <w:t xml:space="preserve">59.6 </w:t>
                  </w:r>
                </w:p>
              </w:tc>
              <w:tc>
                <w:tcPr>
                  <w:tcW w:w="906" w:type="dxa"/>
                  <w:vAlign w:val="center"/>
                </w:tcPr>
                <w:p w14:paraId="487EEE72">
                  <w:pPr>
                    <w:pStyle w:val="86"/>
                  </w:pPr>
                  <w:r>
                    <w:t xml:space="preserve">65.3 </w:t>
                  </w:r>
                </w:p>
              </w:tc>
              <w:tc>
                <w:tcPr>
                  <w:tcW w:w="618" w:type="dxa"/>
                  <w:vMerge w:val="restart"/>
                  <w:vAlign w:val="center"/>
                </w:tcPr>
                <w:p w14:paraId="488E596A">
                  <w:pPr>
                    <w:pStyle w:val="86"/>
                  </w:pPr>
                  <w:r>
                    <w:rPr>
                      <w:rFonts w:hint="eastAsia"/>
                    </w:rPr>
                    <w:t>持续运行</w:t>
                  </w:r>
                </w:p>
              </w:tc>
              <w:tc>
                <w:tcPr>
                  <w:tcW w:w="906" w:type="dxa"/>
                  <w:vMerge w:val="restart"/>
                  <w:vAlign w:val="center"/>
                </w:tcPr>
                <w:p w14:paraId="180914B9">
                  <w:pPr>
                    <w:pStyle w:val="86"/>
                  </w:pPr>
                  <w:r>
                    <w:t>25</w:t>
                  </w:r>
                </w:p>
              </w:tc>
              <w:tc>
                <w:tcPr>
                  <w:tcW w:w="906" w:type="dxa"/>
                  <w:vAlign w:val="center"/>
                </w:tcPr>
                <w:p w14:paraId="2F6CAF2F">
                  <w:pPr>
                    <w:pStyle w:val="86"/>
                  </w:pPr>
                  <w:r>
                    <w:t xml:space="preserve">40.3 </w:t>
                  </w:r>
                </w:p>
              </w:tc>
              <w:tc>
                <w:tcPr>
                  <w:tcW w:w="527" w:type="dxa"/>
                  <w:vAlign w:val="center"/>
                </w:tcPr>
                <w:p w14:paraId="77897DD4">
                  <w:pPr>
                    <w:pStyle w:val="86"/>
                  </w:pPr>
                  <w:r>
                    <w:t>1</w:t>
                  </w:r>
                </w:p>
              </w:tc>
            </w:tr>
            <w:tr w14:paraId="49DA70A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3F9C230A">
                  <w:pPr>
                    <w:pStyle w:val="86"/>
                    <w:rPr>
                      <w:rFonts w:ascii="Calibri" w:hAnsi="Calibri"/>
                      <w:kern w:val="2"/>
                      <w:sz w:val="24"/>
                      <w:szCs w:val="24"/>
                    </w:rPr>
                  </w:pPr>
                </w:p>
              </w:tc>
              <w:tc>
                <w:tcPr>
                  <w:tcW w:w="776" w:type="dxa"/>
                  <w:vMerge w:val="continue"/>
                  <w:vAlign w:val="center"/>
                </w:tcPr>
                <w:p w14:paraId="63F90322">
                  <w:pPr>
                    <w:pStyle w:val="86"/>
                    <w:rPr>
                      <w:rFonts w:ascii="Calibri" w:hAnsi="Calibri"/>
                      <w:kern w:val="2"/>
                      <w:sz w:val="24"/>
                      <w:szCs w:val="24"/>
                    </w:rPr>
                  </w:pPr>
                </w:p>
              </w:tc>
              <w:tc>
                <w:tcPr>
                  <w:tcW w:w="851" w:type="dxa"/>
                  <w:vMerge w:val="continue"/>
                  <w:vAlign w:val="center"/>
                </w:tcPr>
                <w:p w14:paraId="62FA1AA6">
                  <w:pPr>
                    <w:pStyle w:val="86"/>
                    <w:rPr>
                      <w:rFonts w:ascii="Calibri" w:hAnsi="Calibri"/>
                      <w:kern w:val="2"/>
                      <w:sz w:val="24"/>
                      <w:szCs w:val="24"/>
                    </w:rPr>
                  </w:pPr>
                </w:p>
              </w:tc>
              <w:tc>
                <w:tcPr>
                  <w:tcW w:w="668" w:type="dxa"/>
                  <w:vMerge w:val="continue"/>
                  <w:vAlign w:val="center"/>
                </w:tcPr>
                <w:p w14:paraId="2FDD3057">
                  <w:pPr>
                    <w:pStyle w:val="86"/>
                    <w:rPr>
                      <w:rFonts w:ascii="Calibri" w:hAnsi="Calibri"/>
                      <w:kern w:val="2"/>
                      <w:sz w:val="24"/>
                      <w:szCs w:val="24"/>
                    </w:rPr>
                  </w:pPr>
                </w:p>
              </w:tc>
              <w:tc>
                <w:tcPr>
                  <w:tcW w:w="645" w:type="dxa"/>
                  <w:vMerge w:val="continue"/>
                  <w:vAlign w:val="center"/>
                </w:tcPr>
                <w:p w14:paraId="539451DF">
                  <w:pPr>
                    <w:pStyle w:val="86"/>
                    <w:rPr>
                      <w:rFonts w:ascii="Calibri" w:hAnsi="Calibri"/>
                      <w:kern w:val="2"/>
                      <w:sz w:val="24"/>
                      <w:szCs w:val="24"/>
                    </w:rPr>
                  </w:pPr>
                </w:p>
              </w:tc>
              <w:tc>
                <w:tcPr>
                  <w:tcW w:w="972" w:type="dxa"/>
                  <w:vMerge w:val="continue"/>
                  <w:vAlign w:val="center"/>
                </w:tcPr>
                <w:p w14:paraId="7C15B0CC">
                  <w:pPr>
                    <w:pStyle w:val="86"/>
                    <w:rPr>
                      <w:rFonts w:ascii="Calibri" w:hAnsi="Calibri"/>
                      <w:kern w:val="2"/>
                      <w:sz w:val="24"/>
                      <w:szCs w:val="24"/>
                    </w:rPr>
                  </w:pPr>
                </w:p>
              </w:tc>
              <w:tc>
                <w:tcPr>
                  <w:tcW w:w="470" w:type="dxa"/>
                  <w:vMerge w:val="continue"/>
                  <w:vAlign w:val="center"/>
                </w:tcPr>
                <w:p w14:paraId="672C8BAD">
                  <w:pPr>
                    <w:pStyle w:val="86"/>
                    <w:rPr>
                      <w:rFonts w:ascii="Calibri" w:hAnsi="Calibri"/>
                      <w:kern w:val="2"/>
                      <w:sz w:val="24"/>
                      <w:szCs w:val="24"/>
                    </w:rPr>
                  </w:pPr>
                </w:p>
              </w:tc>
              <w:tc>
                <w:tcPr>
                  <w:tcW w:w="729" w:type="dxa"/>
                  <w:vMerge w:val="continue"/>
                  <w:vAlign w:val="center"/>
                </w:tcPr>
                <w:p w14:paraId="32F75892">
                  <w:pPr>
                    <w:pStyle w:val="86"/>
                    <w:rPr>
                      <w:rFonts w:ascii="Calibri" w:hAnsi="Calibri"/>
                      <w:kern w:val="2"/>
                      <w:sz w:val="24"/>
                      <w:szCs w:val="24"/>
                    </w:rPr>
                  </w:pPr>
                </w:p>
              </w:tc>
              <w:tc>
                <w:tcPr>
                  <w:tcW w:w="469" w:type="dxa"/>
                  <w:vMerge w:val="continue"/>
                  <w:vAlign w:val="center"/>
                </w:tcPr>
                <w:p w14:paraId="560DA205">
                  <w:pPr>
                    <w:pStyle w:val="86"/>
                    <w:rPr>
                      <w:rFonts w:ascii="Calibri" w:hAnsi="Calibri"/>
                      <w:kern w:val="2"/>
                      <w:sz w:val="24"/>
                      <w:szCs w:val="24"/>
                    </w:rPr>
                  </w:pPr>
                </w:p>
              </w:tc>
              <w:tc>
                <w:tcPr>
                  <w:tcW w:w="469" w:type="dxa"/>
                  <w:vMerge w:val="continue"/>
                  <w:vAlign w:val="center"/>
                </w:tcPr>
                <w:p w14:paraId="640D7082">
                  <w:pPr>
                    <w:pStyle w:val="86"/>
                    <w:rPr>
                      <w:rFonts w:ascii="Calibri" w:hAnsi="Calibri"/>
                      <w:kern w:val="2"/>
                      <w:sz w:val="24"/>
                      <w:szCs w:val="24"/>
                    </w:rPr>
                  </w:pPr>
                </w:p>
              </w:tc>
              <w:tc>
                <w:tcPr>
                  <w:tcW w:w="414" w:type="dxa"/>
                  <w:vMerge w:val="continue"/>
                  <w:vAlign w:val="center"/>
                </w:tcPr>
                <w:p w14:paraId="72A20B22">
                  <w:pPr>
                    <w:pStyle w:val="86"/>
                    <w:rPr>
                      <w:rFonts w:ascii="Calibri" w:hAnsi="Calibri"/>
                      <w:kern w:val="2"/>
                      <w:sz w:val="24"/>
                      <w:szCs w:val="24"/>
                    </w:rPr>
                  </w:pPr>
                </w:p>
              </w:tc>
              <w:tc>
                <w:tcPr>
                  <w:tcW w:w="469" w:type="dxa"/>
                  <w:vAlign w:val="center"/>
                </w:tcPr>
                <w:p w14:paraId="4D92045F">
                  <w:pPr>
                    <w:pStyle w:val="86"/>
                  </w:pPr>
                  <w:r>
                    <w:t>南</w:t>
                  </w:r>
                </w:p>
              </w:tc>
              <w:tc>
                <w:tcPr>
                  <w:tcW w:w="643" w:type="dxa"/>
                  <w:vAlign w:val="center"/>
                </w:tcPr>
                <w:p w14:paraId="75BE9570">
                  <w:pPr>
                    <w:pStyle w:val="86"/>
                  </w:pPr>
                  <w:r>
                    <w:t xml:space="preserve">23.9 </w:t>
                  </w:r>
                </w:p>
              </w:tc>
              <w:tc>
                <w:tcPr>
                  <w:tcW w:w="906" w:type="dxa"/>
                  <w:vAlign w:val="center"/>
                </w:tcPr>
                <w:p w14:paraId="2B77DD3B">
                  <w:pPr>
                    <w:pStyle w:val="86"/>
                  </w:pPr>
                  <w:r>
                    <w:t xml:space="preserve">65.8 </w:t>
                  </w:r>
                </w:p>
              </w:tc>
              <w:tc>
                <w:tcPr>
                  <w:tcW w:w="618" w:type="dxa"/>
                  <w:vMerge w:val="continue"/>
                  <w:vAlign w:val="center"/>
                </w:tcPr>
                <w:p w14:paraId="306ED782">
                  <w:pPr>
                    <w:pStyle w:val="86"/>
                    <w:rPr>
                      <w:rFonts w:ascii="Calibri" w:hAnsi="Calibri"/>
                      <w:kern w:val="2"/>
                      <w:sz w:val="24"/>
                      <w:szCs w:val="24"/>
                    </w:rPr>
                  </w:pPr>
                </w:p>
              </w:tc>
              <w:tc>
                <w:tcPr>
                  <w:tcW w:w="906" w:type="dxa"/>
                  <w:vMerge w:val="continue"/>
                  <w:vAlign w:val="center"/>
                </w:tcPr>
                <w:p w14:paraId="274E5D1C">
                  <w:pPr>
                    <w:pStyle w:val="86"/>
                    <w:rPr>
                      <w:rFonts w:ascii="Calibri" w:hAnsi="Calibri"/>
                      <w:kern w:val="2"/>
                      <w:sz w:val="24"/>
                      <w:szCs w:val="24"/>
                    </w:rPr>
                  </w:pPr>
                </w:p>
              </w:tc>
              <w:tc>
                <w:tcPr>
                  <w:tcW w:w="906" w:type="dxa"/>
                  <w:vAlign w:val="center"/>
                </w:tcPr>
                <w:p w14:paraId="0456CE92">
                  <w:pPr>
                    <w:pStyle w:val="86"/>
                  </w:pPr>
                  <w:r>
                    <w:t xml:space="preserve">40.8 </w:t>
                  </w:r>
                </w:p>
              </w:tc>
              <w:tc>
                <w:tcPr>
                  <w:tcW w:w="527" w:type="dxa"/>
                  <w:vAlign w:val="center"/>
                </w:tcPr>
                <w:p w14:paraId="113F70E3">
                  <w:pPr>
                    <w:pStyle w:val="86"/>
                  </w:pPr>
                  <w:r>
                    <w:t>1</w:t>
                  </w:r>
                </w:p>
              </w:tc>
            </w:tr>
            <w:tr w14:paraId="3601A28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5C1FCB38">
                  <w:pPr>
                    <w:pStyle w:val="86"/>
                    <w:rPr>
                      <w:rFonts w:ascii="Calibri" w:hAnsi="Calibri"/>
                      <w:kern w:val="2"/>
                      <w:sz w:val="24"/>
                      <w:szCs w:val="24"/>
                    </w:rPr>
                  </w:pPr>
                </w:p>
              </w:tc>
              <w:tc>
                <w:tcPr>
                  <w:tcW w:w="776" w:type="dxa"/>
                  <w:vMerge w:val="continue"/>
                  <w:vAlign w:val="center"/>
                </w:tcPr>
                <w:p w14:paraId="4AC4116A">
                  <w:pPr>
                    <w:pStyle w:val="86"/>
                    <w:rPr>
                      <w:rFonts w:ascii="Calibri" w:hAnsi="Calibri"/>
                      <w:kern w:val="2"/>
                      <w:sz w:val="24"/>
                      <w:szCs w:val="24"/>
                    </w:rPr>
                  </w:pPr>
                </w:p>
              </w:tc>
              <w:tc>
                <w:tcPr>
                  <w:tcW w:w="851" w:type="dxa"/>
                  <w:vMerge w:val="continue"/>
                  <w:vAlign w:val="center"/>
                </w:tcPr>
                <w:p w14:paraId="5EDCE2D4">
                  <w:pPr>
                    <w:pStyle w:val="86"/>
                    <w:rPr>
                      <w:rFonts w:ascii="Calibri" w:hAnsi="Calibri"/>
                      <w:kern w:val="2"/>
                      <w:sz w:val="24"/>
                      <w:szCs w:val="24"/>
                    </w:rPr>
                  </w:pPr>
                </w:p>
              </w:tc>
              <w:tc>
                <w:tcPr>
                  <w:tcW w:w="668" w:type="dxa"/>
                  <w:vMerge w:val="continue"/>
                  <w:vAlign w:val="center"/>
                </w:tcPr>
                <w:p w14:paraId="5AF6B841">
                  <w:pPr>
                    <w:pStyle w:val="86"/>
                    <w:rPr>
                      <w:rFonts w:ascii="Calibri" w:hAnsi="Calibri"/>
                      <w:kern w:val="2"/>
                      <w:sz w:val="24"/>
                      <w:szCs w:val="24"/>
                    </w:rPr>
                  </w:pPr>
                </w:p>
              </w:tc>
              <w:tc>
                <w:tcPr>
                  <w:tcW w:w="645" w:type="dxa"/>
                  <w:vMerge w:val="continue"/>
                  <w:vAlign w:val="center"/>
                </w:tcPr>
                <w:p w14:paraId="46077C44">
                  <w:pPr>
                    <w:pStyle w:val="86"/>
                    <w:rPr>
                      <w:rFonts w:ascii="Calibri" w:hAnsi="Calibri"/>
                      <w:kern w:val="2"/>
                      <w:sz w:val="24"/>
                      <w:szCs w:val="24"/>
                    </w:rPr>
                  </w:pPr>
                </w:p>
              </w:tc>
              <w:tc>
                <w:tcPr>
                  <w:tcW w:w="972" w:type="dxa"/>
                  <w:vMerge w:val="continue"/>
                  <w:vAlign w:val="center"/>
                </w:tcPr>
                <w:p w14:paraId="283710B3">
                  <w:pPr>
                    <w:pStyle w:val="86"/>
                    <w:rPr>
                      <w:rFonts w:ascii="Calibri" w:hAnsi="Calibri"/>
                      <w:kern w:val="2"/>
                      <w:sz w:val="24"/>
                      <w:szCs w:val="24"/>
                    </w:rPr>
                  </w:pPr>
                </w:p>
              </w:tc>
              <w:tc>
                <w:tcPr>
                  <w:tcW w:w="470" w:type="dxa"/>
                  <w:vMerge w:val="continue"/>
                  <w:vAlign w:val="center"/>
                </w:tcPr>
                <w:p w14:paraId="63886E41">
                  <w:pPr>
                    <w:pStyle w:val="86"/>
                    <w:rPr>
                      <w:rFonts w:ascii="Calibri" w:hAnsi="Calibri"/>
                      <w:kern w:val="2"/>
                      <w:sz w:val="24"/>
                      <w:szCs w:val="24"/>
                    </w:rPr>
                  </w:pPr>
                </w:p>
              </w:tc>
              <w:tc>
                <w:tcPr>
                  <w:tcW w:w="729" w:type="dxa"/>
                  <w:vMerge w:val="continue"/>
                  <w:vAlign w:val="center"/>
                </w:tcPr>
                <w:p w14:paraId="03FA9B8B">
                  <w:pPr>
                    <w:pStyle w:val="86"/>
                    <w:rPr>
                      <w:rFonts w:ascii="Calibri" w:hAnsi="Calibri"/>
                      <w:kern w:val="2"/>
                      <w:sz w:val="24"/>
                      <w:szCs w:val="24"/>
                    </w:rPr>
                  </w:pPr>
                </w:p>
              </w:tc>
              <w:tc>
                <w:tcPr>
                  <w:tcW w:w="469" w:type="dxa"/>
                  <w:vMerge w:val="continue"/>
                  <w:vAlign w:val="center"/>
                </w:tcPr>
                <w:p w14:paraId="402DD480">
                  <w:pPr>
                    <w:pStyle w:val="86"/>
                    <w:rPr>
                      <w:rFonts w:ascii="Calibri" w:hAnsi="Calibri"/>
                      <w:kern w:val="2"/>
                      <w:sz w:val="24"/>
                      <w:szCs w:val="24"/>
                    </w:rPr>
                  </w:pPr>
                </w:p>
              </w:tc>
              <w:tc>
                <w:tcPr>
                  <w:tcW w:w="469" w:type="dxa"/>
                  <w:vMerge w:val="continue"/>
                  <w:vAlign w:val="center"/>
                </w:tcPr>
                <w:p w14:paraId="393E0466">
                  <w:pPr>
                    <w:pStyle w:val="86"/>
                    <w:rPr>
                      <w:rFonts w:ascii="Calibri" w:hAnsi="Calibri"/>
                      <w:kern w:val="2"/>
                      <w:sz w:val="24"/>
                      <w:szCs w:val="24"/>
                    </w:rPr>
                  </w:pPr>
                </w:p>
              </w:tc>
              <w:tc>
                <w:tcPr>
                  <w:tcW w:w="414" w:type="dxa"/>
                  <w:vMerge w:val="continue"/>
                  <w:vAlign w:val="center"/>
                </w:tcPr>
                <w:p w14:paraId="1B3B84FD">
                  <w:pPr>
                    <w:pStyle w:val="86"/>
                    <w:rPr>
                      <w:rFonts w:ascii="Calibri" w:hAnsi="Calibri"/>
                      <w:kern w:val="2"/>
                      <w:sz w:val="24"/>
                      <w:szCs w:val="24"/>
                    </w:rPr>
                  </w:pPr>
                </w:p>
              </w:tc>
              <w:tc>
                <w:tcPr>
                  <w:tcW w:w="469" w:type="dxa"/>
                  <w:vAlign w:val="center"/>
                </w:tcPr>
                <w:p w14:paraId="55699FC5">
                  <w:pPr>
                    <w:pStyle w:val="86"/>
                  </w:pPr>
                  <w:r>
                    <w:t>西</w:t>
                  </w:r>
                </w:p>
              </w:tc>
              <w:tc>
                <w:tcPr>
                  <w:tcW w:w="643" w:type="dxa"/>
                  <w:vAlign w:val="center"/>
                </w:tcPr>
                <w:p w14:paraId="50233BCE">
                  <w:pPr>
                    <w:pStyle w:val="86"/>
                  </w:pPr>
                  <w:r>
                    <w:t xml:space="preserve">32.1 </w:t>
                  </w:r>
                </w:p>
              </w:tc>
              <w:tc>
                <w:tcPr>
                  <w:tcW w:w="906" w:type="dxa"/>
                  <w:vAlign w:val="center"/>
                </w:tcPr>
                <w:p w14:paraId="72BA359C">
                  <w:pPr>
                    <w:pStyle w:val="86"/>
                  </w:pPr>
                  <w:r>
                    <w:t xml:space="preserve">65.7 </w:t>
                  </w:r>
                </w:p>
              </w:tc>
              <w:tc>
                <w:tcPr>
                  <w:tcW w:w="618" w:type="dxa"/>
                  <w:vMerge w:val="continue"/>
                  <w:vAlign w:val="center"/>
                </w:tcPr>
                <w:p w14:paraId="6CA79176">
                  <w:pPr>
                    <w:pStyle w:val="86"/>
                    <w:rPr>
                      <w:rFonts w:ascii="Calibri" w:hAnsi="Calibri"/>
                      <w:kern w:val="2"/>
                      <w:sz w:val="24"/>
                      <w:szCs w:val="24"/>
                    </w:rPr>
                  </w:pPr>
                </w:p>
              </w:tc>
              <w:tc>
                <w:tcPr>
                  <w:tcW w:w="906" w:type="dxa"/>
                  <w:vMerge w:val="continue"/>
                  <w:vAlign w:val="center"/>
                </w:tcPr>
                <w:p w14:paraId="73845C5E">
                  <w:pPr>
                    <w:pStyle w:val="86"/>
                    <w:rPr>
                      <w:rFonts w:ascii="Calibri" w:hAnsi="Calibri"/>
                      <w:kern w:val="2"/>
                      <w:sz w:val="24"/>
                      <w:szCs w:val="24"/>
                    </w:rPr>
                  </w:pPr>
                </w:p>
              </w:tc>
              <w:tc>
                <w:tcPr>
                  <w:tcW w:w="906" w:type="dxa"/>
                  <w:vAlign w:val="center"/>
                </w:tcPr>
                <w:p w14:paraId="37D86FC5">
                  <w:pPr>
                    <w:pStyle w:val="86"/>
                  </w:pPr>
                  <w:r>
                    <w:t xml:space="preserve">40.7 </w:t>
                  </w:r>
                </w:p>
              </w:tc>
              <w:tc>
                <w:tcPr>
                  <w:tcW w:w="527" w:type="dxa"/>
                  <w:vAlign w:val="center"/>
                </w:tcPr>
                <w:p w14:paraId="0544A885">
                  <w:pPr>
                    <w:pStyle w:val="86"/>
                  </w:pPr>
                  <w:r>
                    <w:t>1</w:t>
                  </w:r>
                </w:p>
              </w:tc>
            </w:tr>
            <w:tr w14:paraId="5DCF26D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77C4CEF6">
                  <w:pPr>
                    <w:pStyle w:val="86"/>
                    <w:rPr>
                      <w:rFonts w:ascii="Calibri" w:hAnsi="Calibri"/>
                      <w:kern w:val="2"/>
                      <w:sz w:val="24"/>
                      <w:szCs w:val="24"/>
                    </w:rPr>
                  </w:pPr>
                </w:p>
              </w:tc>
              <w:tc>
                <w:tcPr>
                  <w:tcW w:w="776" w:type="dxa"/>
                  <w:vMerge w:val="continue"/>
                  <w:vAlign w:val="center"/>
                </w:tcPr>
                <w:p w14:paraId="54449CDE">
                  <w:pPr>
                    <w:pStyle w:val="86"/>
                    <w:rPr>
                      <w:rFonts w:ascii="Calibri" w:hAnsi="Calibri"/>
                      <w:kern w:val="2"/>
                      <w:sz w:val="24"/>
                      <w:szCs w:val="24"/>
                    </w:rPr>
                  </w:pPr>
                </w:p>
              </w:tc>
              <w:tc>
                <w:tcPr>
                  <w:tcW w:w="851" w:type="dxa"/>
                  <w:vMerge w:val="continue"/>
                  <w:vAlign w:val="center"/>
                </w:tcPr>
                <w:p w14:paraId="6742C0E5">
                  <w:pPr>
                    <w:pStyle w:val="86"/>
                    <w:rPr>
                      <w:rFonts w:ascii="Calibri" w:hAnsi="Calibri"/>
                      <w:kern w:val="2"/>
                      <w:sz w:val="24"/>
                      <w:szCs w:val="24"/>
                    </w:rPr>
                  </w:pPr>
                </w:p>
              </w:tc>
              <w:tc>
                <w:tcPr>
                  <w:tcW w:w="668" w:type="dxa"/>
                  <w:vMerge w:val="continue"/>
                  <w:vAlign w:val="center"/>
                </w:tcPr>
                <w:p w14:paraId="06EEFFA4">
                  <w:pPr>
                    <w:pStyle w:val="86"/>
                    <w:rPr>
                      <w:rFonts w:ascii="Calibri" w:hAnsi="Calibri"/>
                      <w:kern w:val="2"/>
                      <w:sz w:val="24"/>
                      <w:szCs w:val="24"/>
                    </w:rPr>
                  </w:pPr>
                </w:p>
              </w:tc>
              <w:tc>
                <w:tcPr>
                  <w:tcW w:w="645" w:type="dxa"/>
                  <w:vMerge w:val="continue"/>
                  <w:vAlign w:val="center"/>
                </w:tcPr>
                <w:p w14:paraId="19D1E004">
                  <w:pPr>
                    <w:pStyle w:val="86"/>
                    <w:rPr>
                      <w:rFonts w:ascii="Calibri" w:hAnsi="Calibri"/>
                      <w:kern w:val="2"/>
                      <w:sz w:val="24"/>
                      <w:szCs w:val="24"/>
                    </w:rPr>
                  </w:pPr>
                </w:p>
              </w:tc>
              <w:tc>
                <w:tcPr>
                  <w:tcW w:w="972" w:type="dxa"/>
                  <w:vMerge w:val="continue"/>
                  <w:vAlign w:val="center"/>
                </w:tcPr>
                <w:p w14:paraId="238BBE17">
                  <w:pPr>
                    <w:pStyle w:val="86"/>
                    <w:rPr>
                      <w:rFonts w:ascii="Calibri" w:hAnsi="Calibri"/>
                      <w:kern w:val="2"/>
                      <w:sz w:val="24"/>
                      <w:szCs w:val="24"/>
                    </w:rPr>
                  </w:pPr>
                </w:p>
              </w:tc>
              <w:tc>
                <w:tcPr>
                  <w:tcW w:w="470" w:type="dxa"/>
                  <w:vMerge w:val="continue"/>
                  <w:vAlign w:val="center"/>
                </w:tcPr>
                <w:p w14:paraId="43083A84">
                  <w:pPr>
                    <w:pStyle w:val="86"/>
                    <w:rPr>
                      <w:rFonts w:ascii="Calibri" w:hAnsi="Calibri"/>
                      <w:kern w:val="2"/>
                      <w:sz w:val="24"/>
                      <w:szCs w:val="24"/>
                    </w:rPr>
                  </w:pPr>
                </w:p>
              </w:tc>
              <w:tc>
                <w:tcPr>
                  <w:tcW w:w="729" w:type="dxa"/>
                  <w:vMerge w:val="continue"/>
                  <w:vAlign w:val="center"/>
                </w:tcPr>
                <w:p w14:paraId="2DB9C2B4">
                  <w:pPr>
                    <w:pStyle w:val="86"/>
                    <w:rPr>
                      <w:rFonts w:ascii="Calibri" w:hAnsi="Calibri"/>
                      <w:kern w:val="2"/>
                      <w:sz w:val="24"/>
                      <w:szCs w:val="24"/>
                    </w:rPr>
                  </w:pPr>
                </w:p>
              </w:tc>
              <w:tc>
                <w:tcPr>
                  <w:tcW w:w="469" w:type="dxa"/>
                  <w:vMerge w:val="continue"/>
                  <w:vAlign w:val="center"/>
                </w:tcPr>
                <w:p w14:paraId="4A6F4AAF">
                  <w:pPr>
                    <w:pStyle w:val="86"/>
                    <w:rPr>
                      <w:rFonts w:ascii="Calibri" w:hAnsi="Calibri"/>
                      <w:kern w:val="2"/>
                      <w:sz w:val="24"/>
                      <w:szCs w:val="24"/>
                    </w:rPr>
                  </w:pPr>
                </w:p>
              </w:tc>
              <w:tc>
                <w:tcPr>
                  <w:tcW w:w="469" w:type="dxa"/>
                  <w:vMerge w:val="continue"/>
                  <w:vAlign w:val="center"/>
                </w:tcPr>
                <w:p w14:paraId="2A90E681">
                  <w:pPr>
                    <w:pStyle w:val="86"/>
                    <w:rPr>
                      <w:rFonts w:ascii="Calibri" w:hAnsi="Calibri"/>
                      <w:kern w:val="2"/>
                      <w:sz w:val="24"/>
                      <w:szCs w:val="24"/>
                    </w:rPr>
                  </w:pPr>
                </w:p>
              </w:tc>
              <w:tc>
                <w:tcPr>
                  <w:tcW w:w="414" w:type="dxa"/>
                  <w:vMerge w:val="continue"/>
                  <w:vAlign w:val="center"/>
                </w:tcPr>
                <w:p w14:paraId="13E7AEEB">
                  <w:pPr>
                    <w:pStyle w:val="86"/>
                    <w:rPr>
                      <w:rFonts w:ascii="Calibri" w:hAnsi="Calibri"/>
                      <w:kern w:val="2"/>
                      <w:sz w:val="24"/>
                      <w:szCs w:val="24"/>
                    </w:rPr>
                  </w:pPr>
                </w:p>
              </w:tc>
              <w:tc>
                <w:tcPr>
                  <w:tcW w:w="469" w:type="dxa"/>
                  <w:vAlign w:val="center"/>
                </w:tcPr>
                <w:p w14:paraId="3A2E2EDC">
                  <w:pPr>
                    <w:pStyle w:val="86"/>
                  </w:pPr>
                  <w:r>
                    <w:t>北</w:t>
                  </w:r>
                </w:p>
              </w:tc>
              <w:tc>
                <w:tcPr>
                  <w:tcW w:w="643" w:type="dxa"/>
                  <w:vAlign w:val="center"/>
                </w:tcPr>
                <w:p w14:paraId="18C87E53">
                  <w:pPr>
                    <w:pStyle w:val="86"/>
                  </w:pPr>
                  <w:r>
                    <w:t xml:space="preserve">17.7 </w:t>
                  </w:r>
                </w:p>
              </w:tc>
              <w:tc>
                <w:tcPr>
                  <w:tcW w:w="906" w:type="dxa"/>
                  <w:vAlign w:val="center"/>
                </w:tcPr>
                <w:p w14:paraId="5EA2E5CE">
                  <w:pPr>
                    <w:pStyle w:val="86"/>
                  </w:pPr>
                  <w:r>
                    <w:t xml:space="preserve">66.6 </w:t>
                  </w:r>
                </w:p>
              </w:tc>
              <w:tc>
                <w:tcPr>
                  <w:tcW w:w="618" w:type="dxa"/>
                  <w:vMerge w:val="continue"/>
                  <w:vAlign w:val="center"/>
                </w:tcPr>
                <w:p w14:paraId="2A56FDC2">
                  <w:pPr>
                    <w:pStyle w:val="86"/>
                    <w:rPr>
                      <w:rFonts w:ascii="Calibri" w:hAnsi="Calibri"/>
                      <w:kern w:val="2"/>
                      <w:sz w:val="24"/>
                      <w:szCs w:val="24"/>
                    </w:rPr>
                  </w:pPr>
                </w:p>
              </w:tc>
              <w:tc>
                <w:tcPr>
                  <w:tcW w:w="906" w:type="dxa"/>
                  <w:vMerge w:val="continue"/>
                  <w:vAlign w:val="center"/>
                </w:tcPr>
                <w:p w14:paraId="6651C0DC">
                  <w:pPr>
                    <w:pStyle w:val="86"/>
                    <w:rPr>
                      <w:rFonts w:ascii="Calibri" w:hAnsi="Calibri"/>
                      <w:kern w:val="2"/>
                      <w:sz w:val="24"/>
                      <w:szCs w:val="24"/>
                    </w:rPr>
                  </w:pPr>
                </w:p>
              </w:tc>
              <w:tc>
                <w:tcPr>
                  <w:tcW w:w="906" w:type="dxa"/>
                  <w:vAlign w:val="center"/>
                </w:tcPr>
                <w:p w14:paraId="69609967">
                  <w:pPr>
                    <w:pStyle w:val="86"/>
                  </w:pPr>
                  <w:r>
                    <w:t xml:space="preserve">41.6 </w:t>
                  </w:r>
                </w:p>
              </w:tc>
              <w:tc>
                <w:tcPr>
                  <w:tcW w:w="527" w:type="dxa"/>
                  <w:vAlign w:val="center"/>
                </w:tcPr>
                <w:p w14:paraId="39E9EA52">
                  <w:pPr>
                    <w:pStyle w:val="86"/>
                  </w:pPr>
                  <w:r>
                    <w:t>1</w:t>
                  </w:r>
                </w:p>
              </w:tc>
            </w:tr>
            <w:tr w14:paraId="1F9594A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6F116117">
                  <w:pPr>
                    <w:pStyle w:val="86"/>
                  </w:pPr>
                  <w:r>
                    <w:t>4</w:t>
                  </w:r>
                </w:p>
              </w:tc>
              <w:tc>
                <w:tcPr>
                  <w:tcW w:w="776" w:type="dxa"/>
                  <w:vMerge w:val="restart"/>
                  <w:vAlign w:val="center"/>
                </w:tcPr>
                <w:p w14:paraId="08C6938A">
                  <w:pPr>
                    <w:pStyle w:val="86"/>
                  </w:pPr>
                  <w:r>
                    <w:rPr>
                      <w:rFonts w:hint="eastAsia"/>
                    </w:rPr>
                    <w:t>生产车间</w:t>
                  </w:r>
                </w:p>
              </w:tc>
              <w:tc>
                <w:tcPr>
                  <w:tcW w:w="851" w:type="dxa"/>
                  <w:vMerge w:val="restart"/>
                  <w:vAlign w:val="center"/>
                </w:tcPr>
                <w:p w14:paraId="4516C310">
                  <w:pPr>
                    <w:pStyle w:val="86"/>
                  </w:pPr>
                  <w:r>
                    <w:rPr>
                      <w:rFonts w:hint="eastAsia"/>
                    </w:rPr>
                    <w:t>甩干机</w:t>
                  </w:r>
                </w:p>
              </w:tc>
              <w:tc>
                <w:tcPr>
                  <w:tcW w:w="668" w:type="dxa"/>
                  <w:vMerge w:val="restart"/>
                  <w:vAlign w:val="center"/>
                </w:tcPr>
                <w:p w14:paraId="154623EB">
                  <w:pPr>
                    <w:pStyle w:val="86"/>
                  </w:pPr>
                  <w:r>
                    <w:t>/</w:t>
                  </w:r>
                </w:p>
              </w:tc>
              <w:tc>
                <w:tcPr>
                  <w:tcW w:w="645" w:type="dxa"/>
                  <w:vMerge w:val="restart"/>
                  <w:vAlign w:val="center"/>
                </w:tcPr>
                <w:p w14:paraId="3EDC9F73">
                  <w:pPr>
                    <w:pStyle w:val="86"/>
                  </w:pPr>
                  <w:r>
                    <w:t xml:space="preserve">2 </w:t>
                  </w:r>
                </w:p>
              </w:tc>
              <w:tc>
                <w:tcPr>
                  <w:tcW w:w="972" w:type="dxa"/>
                  <w:vMerge w:val="restart"/>
                  <w:vAlign w:val="center"/>
                </w:tcPr>
                <w:p w14:paraId="30DDD7A5">
                  <w:pPr>
                    <w:pStyle w:val="86"/>
                  </w:pPr>
                  <w:r>
                    <w:t>80/1</w:t>
                  </w:r>
                </w:p>
              </w:tc>
              <w:tc>
                <w:tcPr>
                  <w:tcW w:w="470" w:type="dxa"/>
                  <w:vMerge w:val="restart"/>
                  <w:vAlign w:val="center"/>
                </w:tcPr>
                <w:p w14:paraId="49A698C0">
                  <w:pPr>
                    <w:pStyle w:val="86"/>
                  </w:pPr>
                  <w:r>
                    <w:t>/</w:t>
                  </w:r>
                </w:p>
              </w:tc>
              <w:tc>
                <w:tcPr>
                  <w:tcW w:w="729" w:type="dxa"/>
                  <w:vMerge w:val="restart"/>
                  <w:vAlign w:val="center"/>
                </w:tcPr>
                <w:p w14:paraId="173EE65A">
                  <w:pPr>
                    <w:pStyle w:val="86"/>
                  </w:pPr>
                  <w:r>
                    <w:rPr>
                      <w:rFonts w:hint="eastAsia"/>
                    </w:rPr>
                    <w:t>基础减振、厂房隔声</w:t>
                  </w:r>
                </w:p>
              </w:tc>
              <w:tc>
                <w:tcPr>
                  <w:tcW w:w="469" w:type="dxa"/>
                  <w:vMerge w:val="restart"/>
                  <w:vAlign w:val="center"/>
                </w:tcPr>
                <w:p w14:paraId="6317D40C">
                  <w:pPr>
                    <w:pStyle w:val="86"/>
                  </w:pPr>
                  <w:r>
                    <w:t>37</w:t>
                  </w:r>
                </w:p>
              </w:tc>
              <w:tc>
                <w:tcPr>
                  <w:tcW w:w="469" w:type="dxa"/>
                  <w:vMerge w:val="restart"/>
                  <w:vAlign w:val="center"/>
                </w:tcPr>
                <w:p w14:paraId="242EC9E5">
                  <w:pPr>
                    <w:pStyle w:val="86"/>
                  </w:pPr>
                  <w:r>
                    <w:t>15</w:t>
                  </w:r>
                </w:p>
              </w:tc>
              <w:tc>
                <w:tcPr>
                  <w:tcW w:w="414" w:type="dxa"/>
                  <w:vMerge w:val="restart"/>
                  <w:vAlign w:val="center"/>
                </w:tcPr>
                <w:p w14:paraId="3204217F">
                  <w:pPr>
                    <w:pStyle w:val="86"/>
                  </w:pPr>
                  <w:r>
                    <w:t>1</w:t>
                  </w:r>
                </w:p>
              </w:tc>
              <w:tc>
                <w:tcPr>
                  <w:tcW w:w="469" w:type="dxa"/>
                  <w:vAlign w:val="center"/>
                </w:tcPr>
                <w:p w14:paraId="6385CDAA">
                  <w:pPr>
                    <w:pStyle w:val="86"/>
                  </w:pPr>
                  <w:r>
                    <w:t>东</w:t>
                  </w:r>
                </w:p>
              </w:tc>
              <w:tc>
                <w:tcPr>
                  <w:tcW w:w="643" w:type="dxa"/>
                  <w:vAlign w:val="center"/>
                </w:tcPr>
                <w:p w14:paraId="1F2FEC5E">
                  <w:pPr>
                    <w:pStyle w:val="86"/>
                  </w:pPr>
                  <w:r>
                    <w:t xml:space="preserve">55.3 </w:t>
                  </w:r>
                </w:p>
              </w:tc>
              <w:tc>
                <w:tcPr>
                  <w:tcW w:w="906" w:type="dxa"/>
                  <w:vAlign w:val="center"/>
                </w:tcPr>
                <w:p w14:paraId="0C8BA46C">
                  <w:pPr>
                    <w:pStyle w:val="86"/>
                  </w:pPr>
                  <w:r>
                    <w:t xml:space="preserve">65.4 </w:t>
                  </w:r>
                </w:p>
              </w:tc>
              <w:tc>
                <w:tcPr>
                  <w:tcW w:w="618" w:type="dxa"/>
                  <w:vMerge w:val="restart"/>
                  <w:vAlign w:val="center"/>
                </w:tcPr>
                <w:p w14:paraId="642F87A4">
                  <w:pPr>
                    <w:pStyle w:val="86"/>
                  </w:pPr>
                  <w:r>
                    <w:rPr>
                      <w:rFonts w:hint="eastAsia"/>
                    </w:rPr>
                    <w:t>持续运行</w:t>
                  </w:r>
                </w:p>
              </w:tc>
              <w:tc>
                <w:tcPr>
                  <w:tcW w:w="906" w:type="dxa"/>
                  <w:vMerge w:val="restart"/>
                  <w:vAlign w:val="center"/>
                </w:tcPr>
                <w:p w14:paraId="0E739891">
                  <w:pPr>
                    <w:pStyle w:val="86"/>
                  </w:pPr>
                  <w:r>
                    <w:t>25</w:t>
                  </w:r>
                </w:p>
              </w:tc>
              <w:tc>
                <w:tcPr>
                  <w:tcW w:w="906" w:type="dxa"/>
                  <w:vAlign w:val="center"/>
                </w:tcPr>
                <w:p w14:paraId="03B09B11">
                  <w:pPr>
                    <w:pStyle w:val="86"/>
                  </w:pPr>
                  <w:r>
                    <w:t xml:space="preserve">40.4 </w:t>
                  </w:r>
                </w:p>
              </w:tc>
              <w:tc>
                <w:tcPr>
                  <w:tcW w:w="527" w:type="dxa"/>
                  <w:vAlign w:val="center"/>
                </w:tcPr>
                <w:p w14:paraId="29398AFB">
                  <w:pPr>
                    <w:pStyle w:val="86"/>
                  </w:pPr>
                  <w:r>
                    <w:t>1</w:t>
                  </w:r>
                </w:p>
              </w:tc>
            </w:tr>
            <w:tr w14:paraId="409A849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4875945A">
                  <w:pPr>
                    <w:pStyle w:val="86"/>
                    <w:rPr>
                      <w:rFonts w:ascii="Calibri" w:hAnsi="Calibri"/>
                      <w:kern w:val="2"/>
                      <w:sz w:val="24"/>
                      <w:szCs w:val="24"/>
                    </w:rPr>
                  </w:pPr>
                </w:p>
              </w:tc>
              <w:tc>
                <w:tcPr>
                  <w:tcW w:w="776" w:type="dxa"/>
                  <w:vMerge w:val="continue"/>
                  <w:vAlign w:val="center"/>
                </w:tcPr>
                <w:p w14:paraId="61C922ED">
                  <w:pPr>
                    <w:pStyle w:val="86"/>
                    <w:rPr>
                      <w:rFonts w:ascii="Calibri" w:hAnsi="Calibri"/>
                      <w:kern w:val="2"/>
                      <w:sz w:val="24"/>
                      <w:szCs w:val="24"/>
                    </w:rPr>
                  </w:pPr>
                </w:p>
              </w:tc>
              <w:tc>
                <w:tcPr>
                  <w:tcW w:w="851" w:type="dxa"/>
                  <w:vMerge w:val="continue"/>
                  <w:vAlign w:val="center"/>
                </w:tcPr>
                <w:p w14:paraId="7C4DBCF4">
                  <w:pPr>
                    <w:pStyle w:val="86"/>
                    <w:rPr>
                      <w:rFonts w:ascii="Calibri" w:hAnsi="Calibri"/>
                      <w:kern w:val="2"/>
                      <w:sz w:val="24"/>
                      <w:szCs w:val="24"/>
                    </w:rPr>
                  </w:pPr>
                </w:p>
              </w:tc>
              <w:tc>
                <w:tcPr>
                  <w:tcW w:w="668" w:type="dxa"/>
                  <w:vMerge w:val="continue"/>
                  <w:vAlign w:val="center"/>
                </w:tcPr>
                <w:p w14:paraId="4D56DB32">
                  <w:pPr>
                    <w:pStyle w:val="86"/>
                    <w:rPr>
                      <w:rFonts w:ascii="Calibri" w:hAnsi="Calibri"/>
                      <w:kern w:val="2"/>
                      <w:sz w:val="24"/>
                      <w:szCs w:val="24"/>
                    </w:rPr>
                  </w:pPr>
                </w:p>
              </w:tc>
              <w:tc>
                <w:tcPr>
                  <w:tcW w:w="645" w:type="dxa"/>
                  <w:vMerge w:val="continue"/>
                  <w:vAlign w:val="center"/>
                </w:tcPr>
                <w:p w14:paraId="1823DF10">
                  <w:pPr>
                    <w:pStyle w:val="86"/>
                    <w:rPr>
                      <w:rFonts w:ascii="Calibri" w:hAnsi="Calibri"/>
                      <w:kern w:val="2"/>
                      <w:sz w:val="24"/>
                      <w:szCs w:val="24"/>
                    </w:rPr>
                  </w:pPr>
                </w:p>
              </w:tc>
              <w:tc>
                <w:tcPr>
                  <w:tcW w:w="972" w:type="dxa"/>
                  <w:vMerge w:val="continue"/>
                  <w:vAlign w:val="center"/>
                </w:tcPr>
                <w:p w14:paraId="333130BF">
                  <w:pPr>
                    <w:pStyle w:val="86"/>
                    <w:rPr>
                      <w:rFonts w:ascii="Calibri" w:hAnsi="Calibri"/>
                      <w:kern w:val="2"/>
                      <w:sz w:val="24"/>
                      <w:szCs w:val="24"/>
                    </w:rPr>
                  </w:pPr>
                </w:p>
              </w:tc>
              <w:tc>
                <w:tcPr>
                  <w:tcW w:w="470" w:type="dxa"/>
                  <w:vMerge w:val="continue"/>
                  <w:vAlign w:val="center"/>
                </w:tcPr>
                <w:p w14:paraId="0127D141">
                  <w:pPr>
                    <w:pStyle w:val="86"/>
                    <w:rPr>
                      <w:rFonts w:ascii="Calibri" w:hAnsi="Calibri"/>
                      <w:kern w:val="2"/>
                      <w:sz w:val="24"/>
                      <w:szCs w:val="24"/>
                    </w:rPr>
                  </w:pPr>
                </w:p>
              </w:tc>
              <w:tc>
                <w:tcPr>
                  <w:tcW w:w="729" w:type="dxa"/>
                  <w:vMerge w:val="continue"/>
                  <w:vAlign w:val="center"/>
                </w:tcPr>
                <w:p w14:paraId="6F935120">
                  <w:pPr>
                    <w:pStyle w:val="86"/>
                    <w:rPr>
                      <w:rFonts w:ascii="Calibri" w:hAnsi="Calibri"/>
                      <w:kern w:val="2"/>
                      <w:sz w:val="24"/>
                      <w:szCs w:val="24"/>
                    </w:rPr>
                  </w:pPr>
                </w:p>
              </w:tc>
              <w:tc>
                <w:tcPr>
                  <w:tcW w:w="469" w:type="dxa"/>
                  <w:vMerge w:val="continue"/>
                  <w:vAlign w:val="center"/>
                </w:tcPr>
                <w:p w14:paraId="019C2068">
                  <w:pPr>
                    <w:pStyle w:val="86"/>
                    <w:rPr>
                      <w:rFonts w:ascii="Calibri" w:hAnsi="Calibri"/>
                      <w:kern w:val="2"/>
                      <w:sz w:val="24"/>
                      <w:szCs w:val="24"/>
                    </w:rPr>
                  </w:pPr>
                </w:p>
              </w:tc>
              <w:tc>
                <w:tcPr>
                  <w:tcW w:w="469" w:type="dxa"/>
                  <w:vMerge w:val="continue"/>
                  <w:vAlign w:val="center"/>
                </w:tcPr>
                <w:p w14:paraId="5D93E476">
                  <w:pPr>
                    <w:pStyle w:val="86"/>
                    <w:rPr>
                      <w:rFonts w:ascii="Calibri" w:hAnsi="Calibri"/>
                      <w:kern w:val="2"/>
                      <w:sz w:val="24"/>
                      <w:szCs w:val="24"/>
                    </w:rPr>
                  </w:pPr>
                </w:p>
              </w:tc>
              <w:tc>
                <w:tcPr>
                  <w:tcW w:w="414" w:type="dxa"/>
                  <w:vMerge w:val="continue"/>
                  <w:vAlign w:val="center"/>
                </w:tcPr>
                <w:p w14:paraId="0DB062EE">
                  <w:pPr>
                    <w:pStyle w:val="86"/>
                    <w:rPr>
                      <w:rFonts w:ascii="Calibri" w:hAnsi="Calibri"/>
                      <w:kern w:val="2"/>
                      <w:sz w:val="24"/>
                      <w:szCs w:val="24"/>
                    </w:rPr>
                  </w:pPr>
                </w:p>
              </w:tc>
              <w:tc>
                <w:tcPr>
                  <w:tcW w:w="469" w:type="dxa"/>
                  <w:vAlign w:val="center"/>
                </w:tcPr>
                <w:p w14:paraId="42CFFE28">
                  <w:pPr>
                    <w:pStyle w:val="86"/>
                  </w:pPr>
                  <w:r>
                    <w:t>南</w:t>
                  </w:r>
                </w:p>
              </w:tc>
              <w:tc>
                <w:tcPr>
                  <w:tcW w:w="643" w:type="dxa"/>
                  <w:vAlign w:val="center"/>
                </w:tcPr>
                <w:p w14:paraId="40561920">
                  <w:pPr>
                    <w:pStyle w:val="86"/>
                  </w:pPr>
                  <w:r>
                    <w:t xml:space="preserve">19.3 </w:t>
                  </w:r>
                </w:p>
              </w:tc>
              <w:tc>
                <w:tcPr>
                  <w:tcW w:w="906" w:type="dxa"/>
                  <w:vAlign w:val="center"/>
                </w:tcPr>
                <w:p w14:paraId="420EBD3D">
                  <w:pPr>
                    <w:pStyle w:val="86"/>
                  </w:pPr>
                  <w:r>
                    <w:t xml:space="preserve">65.9 </w:t>
                  </w:r>
                </w:p>
              </w:tc>
              <w:tc>
                <w:tcPr>
                  <w:tcW w:w="618" w:type="dxa"/>
                  <w:vMerge w:val="continue"/>
                  <w:vAlign w:val="center"/>
                </w:tcPr>
                <w:p w14:paraId="4A7E941E">
                  <w:pPr>
                    <w:pStyle w:val="86"/>
                    <w:rPr>
                      <w:rFonts w:ascii="Calibri" w:hAnsi="Calibri"/>
                      <w:kern w:val="2"/>
                      <w:sz w:val="24"/>
                      <w:szCs w:val="24"/>
                    </w:rPr>
                  </w:pPr>
                </w:p>
              </w:tc>
              <w:tc>
                <w:tcPr>
                  <w:tcW w:w="906" w:type="dxa"/>
                  <w:vMerge w:val="continue"/>
                  <w:vAlign w:val="center"/>
                </w:tcPr>
                <w:p w14:paraId="75051D42">
                  <w:pPr>
                    <w:pStyle w:val="86"/>
                    <w:rPr>
                      <w:rFonts w:ascii="Calibri" w:hAnsi="Calibri"/>
                      <w:kern w:val="2"/>
                      <w:sz w:val="24"/>
                      <w:szCs w:val="24"/>
                    </w:rPr>
                  </w:pPr>
                </w:p>
              </w:tc>
              <w:tc>
                <w:tcPr>
                  <w:tcW w:w="906" w:type="dxa"/>
                  <w:vAlign w:val="center"/>
                </w:tcPr>
                <w:p w14:paraId="60406F6D">
                  <w:pPr>
                    <w:pStyle w:val="86"/>
                  </w:pPr>
                  <w:r>
                    <w:t xml:space="preserve">40.9 </w:t>
                  </w:r>
                </w:p>
              </w:tc>
              <w:tc>
                <w:tcPr>
                  <w:tcW w:w="527" w:type="dxa"/>
                  <w:vAlign w:val="center"/>
                </w:tcPr>
                <w:p w14:paraId="22FF8B94">
                  <w:pPr>
                    <w:pStyle w:val="86"/>
                  </w:pPr>
                  <w:r>
                    <w:t>1</w:t>
                  </w:r>
                </w:p>
              </w:tc>
            </w:tr>
            <w:tr w14:paraId="3B92B19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02DD1D7A">
                  <w:pPr>
                    <w:pStyle w:val="86"/>
                    <w:rPr>
                      <w:rFonts w:ascii="Calibri" w:hAnsi="Calibri"/>
                      <w:kern w:val="2"/>
                      <w:sz w:val="24"/>
                      <w:szCs w:val="24"/>
                    </w:rPr>
                  </w:pPr>
                </w:p>
              </w:tc>
              <w:tc>
                <w:tcPr>
                  <w:tcW w:w="776" w:type="dxa"/>
                  <w:vMerge w:val="continue"/>
                  <w:vAlign w:val="center"/>
                </w:tcPr>
                <w:p w14:paraId="77C08086">
                  <w:pPr>
                    <w:pStyle w:val="86"/>
                    <w:rPr>
                      <w:rFonts w:ascii="Calibri" w:hAnsi="Calibri"/>
                      <w:kern w:val="2"/>
                      <w:sz w:val="24"/>
                      <w:szCs w:val="24"/>
                    </w:rPr>
                  </w:pPr>
                </w:p>
              </w:tc>
              <w:tc>
                <w:tcPr>
                  <w:tcW w:w="851" w:type="dxa"/>
                  <w:vMerge w:val="continue"/>
                  <w:vAlign w:val="center"/>
                </w:tcPr>
                <w:p w14:paraId="2F0F7F28">
                  <w:pPr>
                    <w:pStyle w:val="86"/>
                    <w:rPr>
                      <w:rFonts w:ascii="Calibri" w:hAnsi="Calibri"/>
                      <w:kern w:val="2"/>
                      <w:sz w:val="24"/>
                      <w:szCs w:val="24"/>
                    </w:rPr>
                  </w:pPr>
                </w:p>
              </w:tc>
              <w:tc>
                <w:tcPr>
                  <w:tcW w:w="668" w:type="dxa"/>
                  <w:vMerge w:val="continue"/>
                  <w:vAlign w:val="center"/>
                </w:tcPr>
                <w:p w14:paraId="008DF049">
                  <w:pPr>
                    <w:pStyle w:val="86"/>
                    <w:rPr>
                      <w:rFonts w:ascii="Calibri" w:hAnsi="Calibri"/>
                      <w:kern w:val="2"/>
                      <w:sz w:val="24"/>
                      <w:szCs w:val="24"/>
                    </w:rPr>
                  </w:pPr>
                </w:p>
              </w:tc>
              <w:tc>
                <w:tcPr>
                  <w:tcW w:w="645" w:type="dxa"/>
                  <w:vMerge w:val="continue"/>
                  <w:vAlign w:val="center"/>
                </w:tcPr>
                <w:p w14:paraId="6047D052">
                  <w:pPr>
                    <w:pStyle w:val="86"/>
                    <w:rPr>
                      <w:rFonts w:ascii="Calibri" w:hAnsi="Calibri"/>
                      <w:kern w:val="2"/>
                      <w:sz w:val="24"/>
                      <w:szCs w:val="24"/>
                    </w:rPr>
                  </w:pPr>
                </w:p>
              </w:tc>
              <w:tc>
                <w:tcPr>
                  <w:tcW w:w="972" w:type="dxa"/>
                  <w:vMerge w:val="continue"/>
                  <w:vAlign w:val="center"/>
                </w:tcPr>
                <w:p w14:paraId="3E0FD5A6">
                  <w:pPr>
                    <w:pStyle w:val="86"/>
                    <w:rPr>
                      <w:rFonts w:ascii="Calibri" w:hAnsi="Calibri"/>
                      <w:kern w:val="2"/>
                      <w:sz w:val="24"/>
                      <w:szCs w:val="24"/>
                    </w:rPr>
                  </w:pPr>
                </w:p>
              </w:tc>
              <w:tc>
                <w:tcPr>
                  <w:tcW w:w="470" w:type="dxa"/>
                  <w:vMerge w:val="continue"/>
                  <w:vAlign w:val="center"/>
                </w:tcPr>
                <w:p w14:paraId="008409EA">
                  <w:pPr>
                    <w:pStyle w:val="86"/>
                    <w:rPr>
                      <w:rFonts w:ascii="Calibri" w:hAnsi="Calibri"/>
                      <w:kern w:val="2"/>
                      <w:sz w:val="24"/>
                      <w:szCs w:val="24"/>
                    </w:rPr>
                  </w:pPr>
                </w:p>
              </w:tc>
              <w:tc>
                <w:tcPr>
                  <w:tcW w:w="729" w:type="dxa"/>
                  <w:vMerge w:val="continue"/>
                  <w:vAlign w:val="center"/>
                </w:tcPr>
                <w:p w14:paraId="647D09DB">
                  <w:pPr>
                    <w:pStyle w:val="86"/>
                    <w:rPr>
                      <w:rFonts w:ascii="Calibri" w:hAnsi="Calibri"/>
                      <w:kern w:val="2"/>
                      <w:sz w:val="24"/>
                      <w:szCs w:val="24"/>
                    </w:rPr>
                  </w:pPr>
                </w:p>
              </w:tc>
              <w:tc>
                <w:tcPr>
                  <w:tcW w:w="469" w:type="dxa"/>
                  <w:vMerge w:val="continue"/>
                  <w:vAlign w:val="center"/>
                </w:tcPr>
                <w:p w14:paraId="2BF00B13">
                  <w:pPr>
                    <w:pStyle w:val="86"/>
                    <w:rPr>
                      <w:rFonts w:ascii="Calibri" w:hAnsi="Calibri"/>
                      <w:kern w:val="2"/>
                      <w:sz w:val="24"/>
                      <w:szCs w:val="24"/>
                    </w:rPr>
                  </w:pPr>
                </w:p>
              </w:tc>
              <w:tc>
                <w:tcPr>
                  <w:tcW w:w="469" w:type="dxa"/>
                  <w:vMerge w:val="continue"/>
                  <w:vAlign w:val="center"/>
                </w:tcPr>
                <w:p w14:paraId="32E5A827">
                  <w:pPr>
                    <w:pStyle w:val="86"/>
                    <w:rPr>
                      <w:rFonts w:ascii="Calibri" w:hAnsi="Calibri"/>
                      <w:kern w:val="2"/>
                      <w:sz w:val="24"/>
                      <w:szCs w:val="24"/>
                    </w:rPr>
                  </w:pPr>
                </w:p>
              </w:tc>
              <w:tc>
                <w:tcPr>
                  <w:tcW w:w="414" w:type="dxa"/>
                  <w:vMerge w:val="continue"/>
                  <w:vAlign w:val="center"/>
                </w:tcPr>
                <w:p w14:paraId="2F70A840">
                  <w:pPr>
                    <w:pStyle w:val="86"/>
                    <w:rPr>
                      <w:rFonts w:ascii="Calibri" w:hAnsi="Calibri"/>
                      <w:kern w:val="2"/>
                      <w:sz w:val="24"/>
                      <w:szCs w:val="24"/>
                    </w:rPr>
                  </w:pPr>
                </w:p>
              </w:tc>
              <w:tc>
                <w:tcPr>
                  <w:tcW w:w="469" w:type="dxa"/>
                  <w:vAlign w:val="center"/>
                </w:tcPr>
                <w:p w14:paraId="0FF36F0D">
                  <w:pPr>
                    <w:pStyle w:val="86"/>
                  </w:pPr>
                  <w:r>
                    <w:t>西</w:t>
                  </w:r>
                </w:p>
              </w:tc>
              <w:tc>
                <w:tcPr>
                  <w:tcW w:w="643" w:type="dxa"/>
                  <w:vAlign w:val="center"/>
                </w:tcPr>
                <w:p w14:paraId="08F80A5C">
                  <w:pPr>
                    <w:pStyle w:val="86"/>
                  </w:pPr>
                  <w:r>
                    <w:t xml:space="preserve">36.0 </w:t>
                  </w:r>
                </w:p>
              </w:tc>
              <w:tc>
                <w:tcPr>
                  <w:tcW w:w="906" w:type="dxa"/>
                  <w:vAlign w:val="center"/>
                </w:tcPr>
                <w:p w14:paraId="2EB22D96">
                  <w:pPr>
                    <w:pStyle w:val="86"/>
                  </w:pPr>
                  <w:r>
                    <w:t xml:space="preserve">65.6 </w:t>
                  </w:r>
                </w:p>
              </w:tc>
              <w:tc>
                <w:tcPr>
                  <w:tcW w:w="618" w:type="dxa"/>
                  <w:vMerge w:val="continue"/>
                  <w:vAlign w:val="center"/>
                </w:tcPr>
                <w:p w14:paraId="048B95E2">
                  <w:pPr>
                    <w:pStyle w:val="86"/>
                    <w:rPr>
                      <w:rFonts w:ascii="Calibri" w:hAnsi="Calibri"/>
                      <w:kern w:val="2"/>
                      <w:sz w:val="24"/>
                      <w:szCs w:val="24"/>
                    </w:rPr>
                  </w:pPr>
                </w:p>
              </w:tc>
              <w:tc>
                <w:tcPr>
                  <w:tcW w:w="906" w:type="dxa"/>
                  <w:vMerge w:val="continue"/>
                  <w:vAlign w:val="center"/>
                </w:tcPr>
                <w:p w14:paraId="7A01B007">
                  <w:pPr>
                    <w:pStyle w:val="86"/>
                    <w:rPr>
                      <w:rFonts w:ascii="Calibri" w:hAnsi="Calibri"/>
                      <w:kern w:val="2"/>
                      <w:sz w:val="24"/>
                      <w:szCs w:val="24"/>
                    </w:rPr>
                  </w:pPr>
                </w:p>
              </w:tc>
              <w:tc>
                <w:tcPr>
                  <w:tcW w:w="906" w:type="dxa"/>
                  <w:vAlign w:val="center"/>
                </w:tcPr>
                <w:p w14:paraId="2DCAEDD6">
                  <w:pPr>
                    <w:pStyle w:val="86"/>
                  </w:pPr>
                  <w:r>
                    <w:t xml:space="preserve">40.6 </w:t>
                  </w:r>
                </w:p>
              </w:tc>
              <w:tc>
                <w:tcPr>
                  <w:tcW w:w="527" w:type="dxa"/>
                  <w:vAlign w:val="center"/>
                </w:tcPr>
                <w:p w14:paraId="5D12F6CB">
                  <w:pPr>
                    <w:pStyle w:val="86"/>
                  </w:pPr>
                  <w:r>
                    <w:t>1</w:t>
                  </w:r>
                </w:p>
              </w:tc>
            </w:tr>
            <w:tr w14:paraId="54F4660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05B40AFC">
                  <w:pPr>
                    <w:pStyle w:val="86"/>
                    <w:rPr>
                      <w:rFonts w:ascii="Calibri" w:hAnsi="Calibri"/>
                      <w:kern w:val="2"/>
                      <w:sz w:val="24"/>
                      <w:szCs w:val="24"/>
                    </w:rPr>
                  </w:pPr>
                </w:p>
              </w:tc>
              <w:tc>
                <w:tcPr>
                  <w:tcW w:w="776" w:type="dxa"/>
                  <w:vMerge w:val="continue"/>
                  <w:vAlign w:val="center"/>
                </w:tcPr>
                <w:p w14:paraId="67161533">
                  <w:pPr>
                    <w:pStyle w:val="86"/>
                    <w:rPr>
                      <w:rFonts w:ascii="Calibri" w:hAnsi="Calibri"/>
                      <w:kern w:val="2"/>
                      <w:sz w:val="24"/>
                      <w:szCs w:val="24"/>
                    </w:rPr>
                  </w:pPr>
                </w:p>
              </w:tc>
              <w:tc>
                <w:tcPr>
                  <w:tcW w:w="851" w:type="dxa"/>
                  <w:vMerge w:val="continue"/>
                  <w:vAlign w:val="center"/>
                </w:tcPr>
                <w:p w14:paraId="55383372">
                  <w:pPr>
                    <w:pStyle w:val="86"/>
                    <w:rPr>
                      <w:rFonts w:ascii="Calibri" w:hAnsi="Calibri"/>
                      <w:kern w:val="2"/>
                      <w:sz w:val="24"/>
                      <w:szCs w:val="24"/>
                    </w:rPr>
                  </w:pPr>
                </w:p>
              </w:tc>
              <w:tc>
                <w:tcPr>
                  <w:tcW w:w="668" w:type="dxa"/>
                  <w:vMerge w:val="continue"/>
                  <w:vAlign w:val="center"/>
                </w:tcPr>
                <w:p w14:paraId="681A8829">
                  <w:pPr>
                    <w:pStyle w:val="86"/>
                    <w:rPr>
                      <w:rFonts w:ascii="Calibri" w:hAnsi="Calibri"/>
                      <w:kern w:val="2"/>
                      <w:sz w:val="24"/>
                      <w:szCs w:val="24"/>
                    </w:rPr>
                  </w:pPr>
                </w:p>
              </w:tc>
              <w:tc>
                <w:tcPr>
                  <w:tcW w:w="645" w:type="dxa"/>
                  <w:vMerge w:val="continue"/>
                  <w:vAlign w:val="center"/>
                </w:tcPr>
                <w:p w14:paraId="5CE66E60">
                  <w:pPr>
                    <w:pStyle w:val="86"/>
                    <w:rPr>
                      <w:rFonts w:ascii="Calibri" w:hAnsi="Calibri"/>
                      <w:kern w:val="2"/>
                      <w:sz w:val="24"/>
                      <w:szCs w:val="24"/>
                    </w:rPr>
                  </w:pPr>
                </w:p>
              </w:tc>
              <w:tc>
                <w:tcPr>
                  <w:tcW w:w="972" w:type="dxa"/>
                  <w:vMerge w:val="continue"/>
                  <w:vAlign w:val="center"/>
                </w:tcPr>
                <w:p w14:paraId="0F253EC8">
                  <w:pPr>
                    <w:pStyle w:val="86"/>
                    <w:rPr>
                      <w:rFonts w:ascii="Calibri" w:hAnsi="Calibri"/>
                      <w:kern w:val="2"/>
                      <w:sz w:val="24"/>
                      <w:szCs w:val="24"/>
                    </w:rPr>
                  </w:pPr>
                </w:p>
              </w:tc>
              <w:tc>
                <w:tcPr>
                  <w:tcW w:w="470" w:type="dxa"/>
                  <w:vMerge w:val="continue"/>
                  <w:vAlign w:val="center"/>
                </w:tcPr>
                <w:p w14:paraId="22E63355">
                  <w:pPr>
                    <w:pStyle w:val="86"/>
                    <w:rPr>
                      <w:rFonts w:ascii="Calibri" w:hAnsi="Calibri"/>
                      <w:kern w:val="2"/>
                      <w:sz w:val="24"/>
                      <w:szCs w:val="24"/>
                    </w:rPr>
                  </w:pPr>
                </w:p>
              </w:tc>
              <w:tc>
                <w:tcPr>
                  <w:tcW w:w="729" w:type="dxa"/>
                  <w:vMerge w:val="continue"/>
                  <w:vAlign w:val="center"/>
                </w:tcPr>
                <w:p w14:paraId="744C11F4">
                  <w:pPr>
                    <w:pStyle w:val="86"/>
                    <w:rPr>
                      <w:rFonts w:ascii="Calibri" w:hAnsi="Calibri"/>
                      <w:kern w:val="2"/>
                      <w:sz w:val="24"/>
                      <w:szCs w:val="24"/>
                    </w:rPr>
                  </w:pPr>
                </w:p>
              </w:tc>
              <w:tc>
                <w:tcPr>
                  <w:tcW w:w="469" w:type="dxa"/>
                  <w:vMerge w:val="continue"/>
                  <w:vAlign w:val="center"/>
                </w:tcPr>
                <w:p w14:paraId="2559A1D2">
                  <w:pPr>
                    <w:pStyle w:val="86"/>
                    <w:rPr>
                      <w:rFonts w:ascii="Calibri" w:hAnsi="Calibri"/>
                      <w:kern w:val="2"/>
                      <w:sz w:val="24"/>
                      <w:szCs w:val="24"/>
                    </w:rPr>
                  </w:pPr>
                </w:p>
              </w:tc>
              <w:tc>
                <w:tcPr>
                  <w:tcW w:w="469" w:type="dxa"/>
                  <w:vMerge w:val="continue"/>
                  <w:vAlign w:val="center"/>
                </w:tcPr>
                <w:p w14:paraId="7AA1C995">
                  <w:pPr>
                    <w:pStyle w:val="86"/>
                    <w:rPr>
                      <w:rFonts w:ascii="Calibri" w:hAnsi="Calibri"/>
                      <w:kern w:val="2"/>
                      <w:sz w:val="24"/>
                      <w:szCs w:val="24"/>
                    </w:rPr>
                  </w:pPr>
                </w:p>
              </w:tc>
              <w:tc>
                <w:tcPr>
                  <w:tcW w:w="414" w:type="dxa"/>
                  <w:vMerge w:val="continue"/>
                  <w:vAlign w:val="center"/>
                </w:tcPr>
                <w:p w14:paraId="2BBF403B">
                  <w:pPr>
                    <w:pStyle w:val="86"/>
                    <w:rPr>
                      <w:rFonts w:ascii="Calibri" w:hAnsi="Calibri"/>
                      <w:kern w:val="2"/>
                      <w:sz w:val="24"/>
                      <w:szCs w:val="24"/>
                    </w:rPr>
                  </w:pPr>
                </w:p>
              </w:tc>
              <w:tc>
                <w:tcPr>
                  <w:tcW w:w="469" w:type="dxa"/>
                  <w:vAlign w:val="center"/>
                </w:tcPr>
                <w:p w14:paraId="630FEEE0">
                  <w:pPr>
                    <w:pStyle w:val="86"/>
                  </w:pPr>
                  <w:r>
                    <w:t>北</w:t>
                  </w:r>
                </w:p>
              </w:tc>
              <w:tc>
                <w:tcPr>
                  <w:tcW w:w="643" w:type="dxa"/>
                  <w:vAlign w:val="center"/>
                </w:tcPr>
                <w:p w14:paraId="754BE03D">
                  <w:pPr>
                    <w:pStyle w:val="86"/>
                  </w:pPr>
                  <w:r>
                    <w:t xml:space="preserve">16.8 </w:t>
                  </w:r>
                </w:p>
              </w:tc>
              <w:tc>
                <w:tcPr>
                  <w:tcW w:w="906" w:type="dxa"/>
                  <w:vAlign w:val="center"/>
                </w:tcPr>
                <w:p w14:paraId="7AE66E55">
                  <w:pPr>
                    <w:pStyle w:val="86"/>
                  </w:pPr>
                  <w:r>
                    <w:t xml:space="preserve">66.7 </w:t>
                  </w:r>
                </w:p>
              </w:tc>
              <w:tc>
                <w:tcPr>
                  <w:tcW w:w="618" w:type="dxa"/>
                  <w:vMerge w:val="continue"/>
                  <w:vAlign w:val="center"/>
                </w:tcPr>
                <w:p w14:paraId="75239B8D">
                  <w:pPr>
                    <w:pStyle w:val="86"/>
                    <w:rPr>
                      <w:rFonts w:ascii="Calibri" w:hAnsi="Calibri"/>
                      <w:kern w:val="2"/>
                      <w:sz w:val="24"/>
                      <w:szCs w:val="24"/>
                    </w:rPr>
                  </w:pPr>
                </w:p>
              </w:tc>
              <w:tc>
                <w:tcPr>
                  <w:tcW w:w="906" w:type="dxa"/>
                  <w:vMerge w:val="continue"/>
                  <w:vAlign w:val="center"/>
                </w:tcPr>
                <w:p w14:paraId="721366FB">
                  <w:pPr>
                    <w:pStyle w:val="86"/>
                    <w:rPr>
                      <w:rFonts w:ascii="Calibri" w:hAnsi="Calibri"/>
                      <w:kern w:val="2"/>
                      <w:sz w:val="24"/>
                      <w:szCs w:val="24"/>
                    </w:rPr>
                  </w:pPr>
                </w:p>
              </w:tc>
              <w:tc>
                <w:tcPr>
                  <w:tcW w:w="906" w:type="dxa"/>
                  <w:vAlign w:val="center"/>
                </w:tcPr>
                <w:p w14:paraId="6D62A7A3">
                  <w:pPr>
                    <w:pStyle w:val="86"/>
                  </w:pPr>
                  <w:r>
                    <w:t xml:space="preserve">41.7 </w:t>
                  </w:r>
                </w:p>
              </w:tc>
              <w:tc>
                <w:tcPr>
                  <w:tcW w:w="527" w:type="dxa"/>
                  <w:vAlign w:val="center"/>
                </w:tcPr>
                <w:p w14:paraId="7CC60D2D">
                  <w:pPr>
                    <w:pStyle w:val="86"/>
                  </w:pPr>
                  <w:r>
                    <w:t>1</w:t>
                  </w:r>
                </w:p>
              </w:tc>
            </w:tr>
            <w:tr w14:paraId="7AE78BE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3EFA8C3B">
                  <w:pPr>
                    <w:pStyle w:val="86"/>
                  </w:pPr>
                  <w:r>
                    <w:t>5</w:t>
                  </w:r>
                </w:p>
              </w:tc>
              <w:tc>
                <w:tcPr>
                  <w:tcW w:w="776" w:type="dxa"/>
                  <w:vMerge w:val="restart"/>
                  <w:vAlign w:val="center"/>
                </w:tcPr>
                <w:p w14:paraId="2CE2990A">
                  <w:pPr>
                    <w:pStyle w:val="86"/>
                  </w:pPr>
                  <w:r>
                    <w:rPr>
                      <w:rFonts w:hint="eastAsia"/>
                    </w:rPr>
                    <w:t>生产车间</w:t>
                  </w:r>
                </w:p>
              </w:tc>
              <w:tc>
                <w:tcPr>
                  <w:tcW w:w="851" w:type="dxa"/>
                  <w:vMerge w:val="restart"/>
                  <w:vAlign w:val="center"/>
                </w:tcPr>
                <w:p w14:paraId="0C15D3CD">
                  <w:pPr>
                    <w:pStyle w:val="86"/>
                  </w:pPr>
                  <w:r>
                    <w:rPr>
                      <w:rFonts w:hint="eastAsia"/>
                    </w:rPr>
                    <w:t>造粒主机</w:t>
                  </w:r>
                </w:p>
              </w:tc>
              <w:tc>
                <w:tcPr>
                  <w:tcW w:w="668" w:type="dxa"/>
                  <w:vMerge w:val="restart"/>
                  <w:vAlign w:val="center"/>
                </w:tcPr>
                <w:p w14:paraId="3C6B17AB">
                  <w:pPr>
                    <w:pStyle w:val="86"/>
                  </w:pPr>
                  <w:r>
                    <w:t>/</w:t>
                  </w:r>
                </w:p>
              </w:tc>
              <w:tc>
                <w:tcPr>
                  <w:tcW w:w="645" w:type="dxa"/>
                  <w:vMerge w:val="restart"/>
                  <w:vAlign w:val="center"/>
                </w:tcPr>
                <w:p w14:paraId="7377DDCD">
                  <w:pPr>
                    <w:pStyle w:val="86"/>
                  </w:pPr>
                  <w:r>
                    <w:t xml:space="preserve">2 </w:t>
                  </w:r>
                </w:p>
              </w:tc>
              <w:tc>
                <w:tcPr>
                  <w:tcW w:w="972" w:type="dxa"/>
                  <w:vMerge w:val="restart"/>
                  <w:vAlign w:val="center"/>
                </w:tcPr>
                <w:p w14:paraId="5884E3C7">
                  <w:pPr>
                    <w:pStyle w:val="86"/>
                  </w:pPr>
                  <w:r>
                    <w:t>75/1</w:t>
                  </w:r>
                </w:p>
              </w:tc>
              <w:tc>
                <w:tcPr>
                  <w:tcW w:w="470" w:type="dxa"/>
                  <w:vMerge w:val="restart"/>
                  <w:vAlign w:val="center"/>
                </w:tcPr>
                <w:p w14:paraId="7D232F1E">
                  <w:pPr>
                    <w:pStyle w:val="86"/>
                  </w:pPr>
                  <w:r>
                    <w:t>/</w:t>
                  </w:r>
                </w:p>
              </w:tc>
              <w:tc>
                <w:tcPr>
                  <w:tcW w:w="729" w:type="dxa"/>
                  <w:vMerge w:val="restart"/>
                  <w:vAlign w:val="center"/>
                </w:tcPr>
                <w:p w14:paraId="49D38C55">
                  <w:pPr>
                    <w:pStyle w:val="86"/>
                  </w:pPr>
                  <w:r>
                    <w:rPr>
                      <w:rFonts w:hint="eastAsia"/>
                    </w:rPr>
                    <w:t>基础减振、厂房隔声</w:t>
                  </w:r>
                </w:p>
              </w:tc>
              <w:tc>
                <w:tcPr>
                  <w:tcW w:w="469" w:type="dxa"/>
                  <w:vMerge w:val="restart"/>
                  <w:vAlign w:val="center"/>
                </w:tcPr>
                <w:p w14:paraId="53BB6B39">
                  <w:pPr>
                    <w:pStyle w:val="86"/>
                  </w:pPr>
                  <w:r>
                    <w:t>62</w:t>
                  </w:r>
                </w:p>
              </w:tc>
              <w:tc>
                <w:tcPr>
                  <w:tcW w:w="469" w:type="dxa"/>
                  <w:vMerge w:val="restart"/>
                  <w:vAlign w:val="center"/>
                </w:tcPr>
                <w:p w14:paraId="580D5B72">
                  <w:pPr>
                    <w:pStyle w:val="86"/>
                  </w:pPr>
                  <w:r>
                    <w:t>15</w:t>
                  </w:r>
                </w:p>
              </w:tc>
              <w:tc>
                <w:tcPr>
                  <w:tcW w:w="414" w:type="dxa"/>
                  <w:vMerge w:val="restart"/>
                  <w:vAlign w:val="center"/>
                </w:tcPr>
                <w:p w14:paraId="137A1A48">
                  <w:pPr>
                    <w:pStyle w:val="86"/>
                  </w:pPr>
                  <w:r>
                    <w:t>1</w:t>
                  </w:r>
                </w:p>
              </w:tc>
              <w:tc>
                <w:tcPr>
                  <w:tcW w:w="469" w:type="dxa"/>
                  <w:vAlign w:val="center"/>
                </w:tcPr>
                <w:p w14:paraId="4E4EE4EB">
                  <w:pPr>
                    <w:pStyle w:val="86"/>
                  </w:pPr>
                  <w:r>
                    <w:t>东</w:t>
                  </w:r>
                </w:p>
              </w:tc>
              <w:tc>
                <w:tcPr>
                  <w:tcW w:w="643" w:type="dxa"/>
                  <w:vAlign w:val="center"/>
                </w:tcPr>
                <w:p w14:paraId="43B0DE04">
                  <w:pPr>
                    <w:pStyle w:val="86"/>
                  </w:pPr>
                  <w:r>
                    <w:t xml:space="preserve">30.4 </w:t>
                  </w:r>
                </w:p>
              </w:tc>
              <w:tc>
                <w:tcPr>
                  <w:tcW w:w="906" w:type="dxa"/>
                  <w:vAlign w:val="center"/>
                </w:tcPr>
                <w:p w14:paraId="734226B4">
                  <w:pPr>
                    <w:pStyle w:val="86"/>
                  </w:pPr>
                  <w:r>
                    <w:t xml:space="preserve">60.7 </w:t>
                  </w:r>
                </w:p>
              </w:tc>
              <w:tc>
                <w:tcPr>
                  <w:tcW w:w="618" w:type="dxa"/>
                  <w:vMerge w:val="restart"/>
                  <w:vAlign w:val="center"/>
                </w:tcPr>
                <w:p w14:paraId="4BD3ACC5">
                  <w:pPr>
                    <w:pStyle w:val="86"/>
                  </w:pPr>
                  <w:r>
                    <w:rPr>
                      <w:rFonts w:hint="eastAsia"/>
                    </w:rPr>
                    <w:t>持续运行</w:t>
                  </w:r>
                </w:p>
              </w:tc>
              <w:tc>
                <w:tcPr>
                  <w:tcW w:w="906" w:type="dxa"/>
                  <w:vMerge w:val="restart"/>
                  <w:vAlign w:val="center"/>
                </w:tcPr>
                <w:p w14:paraId="1297D244">
                  <w:pPr>
                    <w:pStyle w:val="86"/>
                  </w:pPr>
                  <w:r>
                    <w:t>25</w:t>
                  </w:r>
                </w:p>
              </w:tc>
              <w:tc>
                <w:tcPr>
                  <w:tcW w:w="906" w:type="dxa"/>
                  <w:vAlign w:val="center"/>
                </w:tcPr>
                <w:p w14:paraId="656A463B">
                  <w:pPr>
                    <w:pStyle w:val="86"/>
                  </w:pPr>
                  <w:r>
                    <w:t xml:space="preserve">35.7 </w:t>
                  </w:r>
                </w:p>
              </w:tc>
              <w:tc>
                <w:tcPr>
                  <w:tcW w:w="527" w:type="dxa"/>
                  <w:vAlign w:val="center"/>
                </w:tcPr>
                <w:p w14:paraId="391522DF">
                  <w:pPr>
                    <w:pStyle w:val="86"/>
                  </w:pPr>
                  <w:r>
                    <w:t>1</w:t>
                  </w:r>
                </w:p>
              </w:tc>
            </w:tr>
            <w:tr w14:paraId="4E5D2DC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1FEEA397">
                  <w:pPr>
                    <w:pStyle w:val="86"/>
                    <w:rPr>
                      <w:rFonts w:ascii="Calibri" w:hAnsi="Calibri"/>
                      <w:kern w:val="2"/>
                      <w:sz w:val="24"/>
                      <w:szCs w:val="24"/>
                    </w:rPr>
                  </w:pPr>
                </w:p>
              </w:tc>
              <w:tc>
                <w:tcPr>
                  <w:tcW w:w="776" w:type="dxa"/>
                  <w:vMerge w:val="continue"/>
                  <w:vAlign w:val="center"/>
                </w:tcPr>
                <w:p w14:paraId="210691C7">
                  <w:pPr>
                    <w:pStyle w:val="86"/>
                    <w:rPr>
                      <w:rFonts w:ascii="Calibri" w:hAnsi="Calibri"/>
                      <w:kern w:val="2"/>
                      <w:sz w:val="24"/>
                      <w:szCs w:val="24"/>
                    </w:rPr>
                  </w:pPr>
                </w:p>
              </w:tc>
              <w:tc>
                <w:tcPr>
                  <w:tcW w:w="851" w:type="dxa"/>
                  <w:vMerge w:val="continue"/>
                  <w:vAlign w:val="center"/>
                </w:tcPr>
                <w:p w14:paraId="1413426F">
                  <w:pPr>
                    <w:pStyle w:val="86"/>
                    <w:rPr>
                      <w:rFonts w:ascii="Calibri" w:hAnsi="Calibri"/>
                      <w:kern w:val="2"/>
                      <w:sz w:val="24"/>
                      <w:szCs w:val="24"/>
                    </w:rPr>
                  </w:pPr>
                </w:p>
              </w:tc>
              <w:tc>
                <w:tcPr>
                  <w:tcW w:w="668" w:type="dxa"/>
                  <w:vMerge w:val="continue"/>
                  <w:vAlign w:val="center"/>
                </w:tcPr>
                <w:p w14:paraId="41E84636">
                  <w:pPr>
                    <w:pStyle w:val="86"/>
                    <w:rPr>
                      <w:rFonts w:ascii="Calibri" w:hAnsi="Calibri"/>
                      <w:kern w:val="2"/>
                      <w:sz w:val="24"/>
                      <w:szCs w:val="24"/>
                    </w:rPr>
                  </w:pPr>
                </w:p>
              </w:tc>
              <w:tc>
                <w:tcPr>
                  <w:tcW w:w="645" w:type="dxa"/>
                  <w:vMerge w:val="continue"/>
                  <w:vAlign w:val="center"/>
                </w:tcPr>
                <w:p w14:paraId="06DA4DB4">
                  <w:pPr>
                    <w:pStyle w:val="86"/>
                    <w:rPr>
                      <w:rFonts w:ascii="Calibri" w:hAnsi="Calibri"/>
                      <w:kern w:val="2"/>
                      <w:sz w:val="24"/>
                      <w:szCs w:val="24"/>
                    </w:rPr>
                  </w:pPr>
                </w:p>
              </w:tc>
              <w:tc>
                <w:tcPr>
                  <w:tcW w:w="972" w:type="dxa"/>
                  <w:vMerge w:val="continue"/>
                  <w:vAlign w:val="center"/>
                </w:tcPr>
                <w:p w14:paraId="7FE39BD3">
                  <w:pPr>
                    <w:pStyle w:val="86"/>
                    <w:rPr>
                      <w:rFonts w:ascii="Calibri" w:hAnsi="Calibri"/>
                      <w:kern w:val="2"/>
                      <w:sz w:val="24"/>
                      <w:szCs w:val="24"/>
                    </w:rPr>
                  </w:pPr>
                </w:p>
              </w:tc>
              <w:tc>
                <w:tcPr>
                  <w:tcW w:w="470" w:type="dxa"/>
                  <w:vMerge w:val="continue"/>
                  <w:vAlign w:val="center"/>
                </w:tcPr>
                <w:p w14:paraId="59DDD8A6">
                  <w:pPr>
                    <w:pStyle w:val="86"/>
                    <w:rPr>
                      <w:rFonts w:ascii="Calibri" w:hAnsi="Calibri"/>
                      <w:kern w:val="2"/>
                      <w:sz w:val="24"/>
                      <w:szCs w:val="24"/>
                    </w:rPr>
                  </w:pPr>
                </w:p>
              </w:tc>
              <w:tc>
                <w:tcPr>
                  <w:tcW w:w="729" w:type="dxa"/>
                  <w:vMerge w:val="continue"/>
                  <w:vAlign w:val="center"/>
                </w:tcPr>
                <w:p w14:paraId="2ECD40D5">
                  <w:pPr>
                    <w:pStyle w:val="86"/>
                    <w:rPr>
                      <w:rFonts w:ascii="Calibri" w:hAnsi="Calibri"/>
                      <w:kern w:val="2"/>
                      <w:sz w:val="24"/>
                      <w:szCs w:val="24"/>
                    </w:rPr>
                  </w:pPr>
                </w:p>
              </w:tc>
              <w:tc>
                <w:tcPr>
                  <w:tcW w:w="469" w:type="dxa"/>
                  <w:vMerge w:val="continue"/>
                  <w:vAlign w:val="center"/>
                </w:tcPr>
                <w:p w14:paraId="133CEDC5">
                  <w:pPr>
                    <w:pStyle w:val="86"/>
                    <w:rPr>
                      <w:rFonts w:ascii="Calibri" w:hAnsi="Calibri"/>
                      <w:kern w:val="2"/>
                      <w:sz w:val="24"/>
                      <w:szCs w:val="24"/>
                    </w:rPr>
                  </w:pPr>
                </w:p>
              </w:tc>
              <w:tc>
                <w:tcPr>
                  <w:tcW w:w="469" w:type="dxa"/>
                  <w:vMerge w:val="continue"/>
                  <w:vAlign w:val="center"/>
                </w:tcPr>
                <w:p w14:paraId="237A4F7F">
                  <w:pPr>
                    <w:pStyle w:val="86"/>
                    <w:rPr>
                      <w:rFonts w:ascii="Calibri" w:hAnsi="Calibri"/>
                      <w:kern w:val="2"/>
                      <w:sz w:val="24"/>
                      <w:szCs w:val="24"/>
                    </w:rPr>
                  </w:pPr>
                </w:p>
              </w:tc>
              <w:tc>
                <w:tcPr>
                  <w:tcW w:w="414" w:type="dxa"/>
                  <w:vMerge w:val="continue"/>
                  <w:vAlign w:val="center"/>
                </w:tcPr>
                <w:p w14:paraId="26488611">
                  <w:pPr>
                    <w:pStyle w:val="86"/>
                    <w:rPr>
                      <w:rFonts w:ascii="Calibri" w:hAnsi="Calibri"/>
                      <w:kern w:val="2"/>
                      <w:sz w:val="24"/>
                      <w:szCs w:val="24"/>
                    </w:rPr>
                  </w:pPr>
                </w:p>
              </w:tc>
              <w:tc>
                <w:tcPr>
                  <w:tcW w:w="469" w:type="dxa"/>
                  <w:vAlign w:val="center"/>
                </w:tcPr>
                <w:p w14:paraId="474C063A">
                  <w:pPr>
                    <w:pStyle w:val="86"/>
                  </w:pPr>
                  <w:r>
                    <w:t>南</w:t>
                  </w:r>
                </w:p>
              </w:tc>
              <w:tc>
                <w:tcPr>
                  <w:tcW w:w="643" w:type="dxa"/>
                  <w:vAlign w:val="center"/>
                </w:tcPr>
                <w:p w14:paraId="4A97C6EC">
                  <w:pPr>
                    <w:pStyle w:val="86"/>
                  </w:pPr>
                  <w:r>
                    <w:t xml:space="preserve">23.7 </w:t>
                  </w:r>
                </w:p>
              </w:tc>
              <w:tc>
                <w:tcPr>
                  <w:tcW w:w="906" w:type="dxa"/>
                  <w:vAlign w:val="center"/>
                </w:tcPr>
                <w:p w14:paraId="3BB71C22">
                  <w:pPr>
                    <w:pStyle w:val="86"/>
                  </w:pPr>
                  <w:r>
                    <w:t xml:space="preserve">60.5 </w:t>
                  </w:r>
                </w:p>
              </w:tc>
              <w:tc>
                <w:tcPr>
                  <w:tcW w:w="618" w:type="dxa"/>
                  <w:vMerge w:val="continue"/>
                  <w:vAlign w:val="center"/>
                </w:tcPr>
                <w:p w14:paraId="7ABF1A5E">
                  <w:pPr>
                    <w:pStyle w:val="86"/>
                    <w:rPr>
                      <w:rFonts w:ascii="Calibri" w:hAnsi="Calibri"/>
                      <w:kern w:val="2"/>
                      <w:sz w:val="24"/>
                      <w:szCs w:val="24"/>
                    </w:rPr>
                  </w:pPr>
                </w:p>
              </w:tc>
              <w:tc>
                <w:tcPr>
                  <w:tcW w:w="906" w:type="dxa"/>
                  <w:vMerge w:val="continue"/>
                  <w:vAlign w:val="center"/>
                </w:tcPr>
                <w:p w14:paraId="10637612">
                  <w:pPr>
                    <w:pStyle w:val="86"/>
                    <w:rPr>
                      <w:rFonts w:ascii="Calibri" w:hAnsi="Calibri"/>
                      <w:kern w:val="2"/>
                      <w:sz w:val="24"/>
                      <w:szCs w:val="24"/>
                    </w:rPr>
                  </w:pPr>
                </w:p>
              </w:tc>
              <w:tc>
                <w:tcPr>
                  <w:tcW w:w="906" w:type="dxa"/>
                  <w:vAlign w:val="center"/>
                </w:tcPr>
                <w:p w14:paraId="52B555FF">
                  <w:pPr>
                    <w:pStyle w:val="86"/>
                  </w:pPr>
                  <w:r>
                    <w:t xml:space="preserve">35.5 </w:t>
                  </w:r>
                </w:p>
              </w:tc>
              <w:tc>
                <w:tcPr>
                  <w:tcW w:w="527" w:type="dxa"/>
                  <w:vAlign w:val="center"/>
                </w:tcPr>
                <w:p w14:paraId="11B10017">
                  <w:pPr>
                    <w:pStyle w:val="86"/>
                  </w:pPr>
                  <w:r>
                    <w:t>1</w:t>
                  </w:r>
                </w:p>
              </w:tc>
            </w:tr>
            <w:tr w14:paraId="76916CB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67B1E057">
                  <w:pPr>
                    <w:pStyle w:val="86"/>
                    <w:rPr>
                      <w:rFonts w:ascii="Calibri" w:hAnsi="Calibri"/>
                      <w:kern w:val="2"/>
                      <w:sz w:val="24"/>
                      <w:szCs w:val="24"/>
                    </w:rPr>
                  </w:pPr>
                </w:p>
              </w:tc>
              <w:tc>
                <w:tcPr>
                  <w:tcW w:w="776" w:type="dxa"/>
                  <w:vMerge w:val="continue"/>
                  <w:vAlign w:val="center"/>
                </w:tcPr>
                <w:p w14:paraId="2DF85A86">
                  <w:pPr>
                    <w:pStyle w:val="86"/>
                    <w:rPr>
                      <w:rFonts w:ascii="Calibri" w:hAnsi="Calibri"/>
                      <w:kern w:val="2"/>
                      <w:sz w:val="24"/>
                      <w:szCs w:val="24"/>
                    </w:rPr>
                  </w:pPr>
                </w:p>
              </w:tc>
              <w:tc>
                <w:tcPr>
                  <w:tcW w:w="851" w:type="dxa"/>
                  <w:vMerge w:val="continue"/>
                  <w:vAlign w:val="center"/>
                </w:tcPr>
                <w:p w14:paraId="2BB59641">
                  <w:pPr>
                    <w:pStyle w:val="86"/>
                    <w:rPr>
                      <w:rFonts w:ascii="Calibri" w:hAnsi="Calibri"/>
                      <w:kern w:val="2"/>
                      <w:sz w:val="24"/>
                      <w:szCs w:val="24"/>
                    </w:rPr>
                  </w:pPr>
                </w:p>
              </w:tc>
              <w:tc>
                <w:tcPr>
                  <w:tcW w:w="668" w:type="dxa"/>
                  <w:vMerge w:val="continue"/>
                  <w:vAlign w:val="center"/>
                </w:tcPr>
                <w:p w14:paraId="705211B4">
                  <w:pPr>
                    <w:pStyle w:val="86"/>
                    <w:rPr>
                      <w:rFonts w:ascii="Calibri" w:hAnsi="Calibri"/>
                      <w:kern w:val="2"/>
                      <w:sz w:val="24"/>
                      <w:szCs w:val="24"/>
                    </w:rPr>
                  </w:pPr>
                </w:p>
              </w:tc>
              <w:tc>
                <w:tcPr>
                  <w:tcW w:w="645" w:type="dxa"/>
                  <w:vMerge w:val="continue"/>
                  <w:vAlign w:val="center"/>
                </w:tcPr>
                <w:p w14:paraId="177E1B48">
                  <w:pPr>
                    <w:pStyle w:val="86"/>
                    <w:rPr>
                      <w:rFonts w:ascii="Calibri" w:hAnsi="Calibri"/>
                      <w:kern w:val="2"/>
                      <w:sz w:val="24"/>
                      <w:szCs w:val="24"/>
                    </w:rPr>
                  </w:pPr>
                </w:p>
              </w:tc>
              <w:tc>
                <w:tcPr>
                  <w:tcW w:w="972" w:type="dxa"/>
                  <w:vMerge w:val="continue"/>
                  <w:vAlign w:val="center"/>
                </w:tcPr>
                <w:p w14:paraId="5BE95A6B">
                  <w:pPr>
                    <w:pStyle w:val="86"/>
                    <w:rPr>
                      <w:rFonts w:ascii="Calibri" w:hAnsi="Calibri"/>
                      <w:kern w:val="2"/>
                      <w:sz w:val="24"/>
                      <w:szCs w:val="24"/>
                    </w:rPr>
                  </w:pPr>
                </w:p>
              </w:tc>
              <w:tc>
                <w:tcPr>
                  <w:tcW w:w="470" w:type="dxa"/>
                  <w:vMerge w:val="continue"/>
                  <w:vAlign w:val="center"/>
                </w:tcPr>
                <w:p w14:paraId="223E9CBB">
                  <w:pPr>
                    <w:pStyle w:val="86"/>
                    <w:rPr>
                      <w:rFonts w:ascii="Calibri" w:hAnsi="Calibri"/>
                      <w:kern w:val="2"/>
                      <w:sz w:val="24"/>
                      <w:szCs w:val="24"/>
                    </w:rPr>
                  </w:pPr>
                </w:p>
              </w:tc>
              <w:tc>
                <w:tcPr>
                  <w:tcW w:w="729" w:type="dxa"/>
                  <w:vMerge w:val="continue"/>
                  <w:vAlign w:val="center"/>
                </w:tcPr>
                <w:p w14:paraId="570F6DF3">
                  <w:pPr>
                    <w:pStyle w:val="86"/>
                    <w:rPr>
                      <w:rFonts w:ascii="Calibri" w:hAnsi="Calibri"/>
                      <w:kern w:val="2"/>
                      <w:sz w:val="24"/>
                      <w:szCs w:val="24"/>
                    </w:rPr>
                  </w:pPr>
                </w:p>
              </w:tc>
              <w:tc>
                <w:tcPr>
                  <w:tcW w:w="469" w:type="dxa"/>
                  <w:vMerge w:val="continue"/>
                  <w:vAlign w:val="center"/>
                </w:tcPr>
                <w:p w14:paraId="05F9F014">
                  <w:pPr>
                    <w:pStyle w:val="86"/>
                    <w:rPr>
                      <w:rFonts w:ascii="Calibri" w:hAnsi="Calibri"/>
                      <w:kern w:val="2"/>
                      <w:sz w:val="24"/>
                      <w:szCs w:val="24"/>
                    </w:rPr>
                  </w:pPr>
                </w:p>
              </w:tc>
              <w:tc>
                <w:tcPr>
                  <w:tcW w:w="469" w:type="dxa"/>
                  <w:vMerge w:val="continue"/>
                  <w:vAlign w:val="center"/>
                </w:tcPr>
                <w:p w14:paraId="607BD8D9">
                  <w:pPr>
                    <w:pStyle w:val="86"/>
                    <w:rPr>
                      <w:rFonts w:ascii="Calibri" w:hAnsi="Calibri"/>
                      <w:kern w:val="2"/>
                      <w:sz w:val="24"/>
                      <w:szCs w:val="24"/>
                    </w:rPr>
                  </w:pPr>
                </w:p>
              </w:tc>
              <w:tc>
                <w:tcPr>
                  <w:tcW w:w="414" w:type="dxa"/>
                  <w:vMerge w:val="continue"/>
                  <w:vAlign w:val="center"/>
                </w:tcPr>
                <w:p w14:paraId="0A3AF5C5">
                  <w:pPr>
                    <w:pStyle w:val="86"/>
                    <w:rPr>
                      <w:rFonts w:ascii="Calibri" w:hAnsi="Calibri"/>
                      <w:kern w:val="2"/>
                      <w:sz w:val="24"/>
                      <w:szCs w:val="24"/>
                    </w:rPr>
                  </w:pPr>
                </w:p>
              </w:tc>
              <w:tc>
                <w:tcPr>
                  <w:tcW w:w="469" w:type="dxa"/>
                  <w:vAlign w:val="center"/>
                </w:tcPr>
                <w:p w14:paraId="12F3407D">
                  <w:pPr>
                    <w:pStyle w:val="86"/>
                  </w:pPr>
                  <w:r>
                    <w:t>西</w:t>
                  </w:r>
                </w:p>
              </w:tc>
              <w:tc>
                <w:tcPr>
                  <w:tcW w:w="643" w:type="dxa"/>
                  <w:vAlign w:val="center"/>
                </w:tcPr>
                <w:p w14:paraId="18FDBE8C">
                  <w:pPr>
                    <w:pStyle w:val="86"/>
                  </w:pPr>
                  <w:r>
                    <w:t xml:space="preserve">61.0 </w:t>
                  </w:r>
                </w:p>
              </w:tc>
              <w:tc>
                <w:tcPr>
                  <w:tcW w:w="906" w:type="dxa"/>
                  <w:vAlign w:val="center"/>
                </w:tcPr>
                <w:p w14:paraId="5983D11B">
                  <w:pPr>
                    <w:pStyle w:val="86"/>
                  </w:pPr>
                  <w:r>
                    <w:t xml:space="preserve">60.3 </w:t>
                  </w:r>
                </w:p>
              </w:tc>
              <w:tc>
                <w:tcPr>
                  <w:tcW w:w="618" w:type="dxa"/>
                  <w:vMerge w:val="continue"/>
                  <w:vAlign w:val="center"/>
                </w:tcPr>
                <w:p w14:paraId="30F9E741">
                  <w:pPr>
                    <w:pStyle w:val="86"/>
                    <w:rPr>
                      <w:rFonts w:ascii="Calibri" w:hAnsi="Calibri"/>
                      <w:kern w:val="2"/>
                      <w:sz w:val="24"/>
                      <w:szCs w:val="24"/>
                    </w:rPr>
                  </w:pPr>
                </w:p>
              </w:tc>
              <w:tc>
                <w:tcPr>
                  <w:tcW w:w="906" w:type="dxa"/>
                  <w:vMerge w:val="continue"/>
                  <w:vAlign w:val="center"/>
                </w:tcPr>
                <w:p w14:paraId="7E297869">
                  <w:pPr>
                    <w:pStyle w:val="86"/>
                    <w:rPr>
                      <w:rFonts w:ascii="Calibri" w:hAnsi="Calibri"/>
                      <w:kern w:val="2"/>
                      <w:sz w:val="24"/>
                      <w:szCs w:val="24"/>
                    </w:rPr>
                  </w:pPr>
                </w:p>
              </w:tc>
              <w:tc>
                <w:tcPr>
                  <w:tcW w:w="906" w:type="dxa"/>
                  <w:vAlign w:val="center"/>
                </w:tcPr>
                <w:p w14:paraId="17FD3F25">
                  <w:pPr>
                    <w:pStyle w:val="86"/>
                  </w:pPr>
                  <w:r>
                    <w:t xml:space="preserve">35.3 </w:t>
                  </w:r>
                </w:p>
              </w:tc>
              <w:tc>
                <w:tcPr>
                  <w:tcW w:w="527" w:type="dxa"/>
                  <w:vAlign w:val="center"/>
                </w:tcPr>
                <w:p w14:paraId="696C309A">
                  <w:pPr>
                    <w:pStyle w:val="86"/>
                  </w:pPr>
                  <w:r>
                    <w:t>1</w:t>
                  </w:r>
                </w:p>
              </w:tc>
            </w:tr>
            <w:tr w14:paraId="16B417F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4403BFF5">
                  <w:pPr>
                    <w:pStyle w:val="86"/>
                    <w:rPr>
                      <w:rFonts w:ascii="Calibri" w:hAnsi="Calibri"/>
                      <w:kern w:val="2"/>
                      <w:sz w:val="24"/>
                      <w:szCs w:val="24"/>
                    </w:rPr>
                  </w:pPr>
                </w:p>
              </w:tc>
              <w:tc>
                <w:tcPr>
                  <w:tcW w:w="776" w:type="dxa"/>
                  <w:vMerge w:val="continue"/>
                  <w:vAlign w:val="center"/>
                </w:tcPr>
                <w:p w14:paraId="5EE7E501">
                  <w:pPr>
                    <w:pStyle w:val="86"/>
                    <w:rPr>
                      <w:rFonts w:ascii="Calibri" w:hAnsi="Calibri"/>
                      <w:kern w:val="2"/>
                      <w:sz w:val="24"/>
                      <w:szCs w:val="24"/>
                    </w:rPr>
                  </w:pPr>
                </w:p>
              </w:tc>
              <w:tc>
                <w:tcPr>
                  <w:tcW w:w="851" w:type="dxa"/>
                  <w:vMerge w:val="continue"/>
                  <w:vAlign w:val="center"/>
                </w:tcPr>
                <w:p w14:paraId="014950C0">
                  <w:pPr>
                    <w:pStyle w:val="86"/>
                    <w:rPr>
                      <w:rFonts w:ascii="Calibri" w:hAnsi="Calibri"/>
                      <w:kern w:val="2"/>
                      <w:sz w:val="24"/>
                      <w:szCs w:val="24"/>
                    </w:rPr>
                  </w:pPr>
                </w:p>
              </w:tc>
              <w:tc>
                <w:tcPr>
                  <w:tcW w:w="668" w:type="dxa"/>
                  <w:vMerge w:val="continue"/>
                  <w:vAlign w:val="center"/>
                </w:tcPr>
                <w:p w14:paraId="74AB931D">
                  <w:pPr>
                    <w:pStyle w:val="86"/>
                    <w:rPr>
                      <w:rFonts w:ascii="Calibri" w:hAnsi="Calibri"/>
                      <w:kern w:val="2"/>
                      <w:sz w:val="24"/>
                      <w:szCs w:val="24"/>
                    </w:rPr>
                  </w:pPr>
                </w:p>
              </w:tc>
              <w:tc>
                <w:tcPr>
                  <w:tcW w:w="645" w:type="dxa"/>
                  <w:vMerge w:val="continue"/>
                  <w:vAlign w:val="center"/>
                </w:tcPr>
                <w:p w14:paraId="7537B6AB">
                  <w:pPr>
                    <w:pStyle w:val="86"/>
                    <w:rPr>
                      <w:rFonts w:ascii="Calibri" w:hAnsi="Calibri"/>
                      <w:kern w:val="2"/>
                      <w:sz w:val="24"/>
                      <w:szCs w:val="24"/>
                    </w:rPr>
                  </w:pPr>
                </w:p>
              </w:tc>
              <w:tc>
                <w:tcPr>
                  <w:tcW w:w="972" w:type="dxa"/>
                  <w:vMerge w:val="continue"/>
                  <w:vAlign w:val="center"/>
                </w:tcPr>
                <w:p w14:paraId="7567C284">
                  <w:pPr>
                    <w:pStyle w:val="86"/>
                    <w:rPr>
                      <w:rFonts w:ascii="Calibri" w:hAnsi="Calibri"/>
                      <w:kern w:val="2"/>
                      <w:sz w:val="24"/>
                      <w:szCs w:val="24"/>
                    </w:rPr>
                  </w:pPr>
                </w:p>
              </w:tc>
              <w:tc>
                <w:tcPr>
                  <w:tcW w:w="470" w:type="dxa"/>
                  <w:vMerge w:val="continue"/>
                  <w:vAlign w:val="center"/>
                </w:tcPr>
                <w:p w14:paraId="289E40A9">
                  <w:pPr>
                    <w:pStyle w:val="86"/>
                    <w:rPr>
                      <w:rFonts w:ascii="Calibri" w:hAnsi="Calibri"/>
                      <w:kern w:val="2"/>
                      <w:sz w:val="24"/>
                      <w:szCs w:val="24"/>
                    </w:rPr>
                  </w:pPr>
                </w:p>
              </w:tc>
              <w:tc>
                <w:tcPr>
                  <w:tcW w:w="729" w:type="dxa"/>
                  <w:vMerge w:val="continue"/>
                  <w:vAlign w:val="center"/>
                </w:tcPr>
                <w:p w14:paraId="5A234CDD">
                  <w:pPr>
                    <w:pStyle w:val="86"/>
                    <w:rPr>
                      <w:rFonts w:ascii="Calibri" w:hAnsi="Calibri"/>
                      <w:kern w:val="2"/>
                      <w:sz w:val="24"/>
                      <w:szCs w:val="24"/>
                    </w:rPr>
                  </w:pPr>
                </w:p>
              </w:tc>
              <w:tc>
                <w:tcPr>
                  <w:tcW w:w="469" w:type="dxa"/>
                  <w:vMerge w:val="continue"/>
                  <w:vAlign w:val="center"/>
                </w:tcPr>
                <w:p w14:paraId="1748A057">
                  <w:pPr>
                    <w:pStyle w:val="86"/>
                    <w:rPr>
                      <w:rFonts w:ascii="Calibri" w:hAnsi="Calibri"/>
                      <w:kern w:val="2"/>
                      <w:sz w:val="24"/>
                      <w:szCs w:val="24"/>
                    </w:rPr>
                  </w:pPr>
                </w:p>
              </w:tc>
              <w:tc>
                <w:tcPr>
                  <w:tcW w:w="469" w:type="dxa"/>
                  <w:vMerge w:val="continue"/>
                  <w:vAlign w:val="center"/>
                </w:tcPr>
                <w:p w14:paraId="583BEC37">
                  <w:pPr>
                    <w:pStyle w:val="86"/>
                    <w:rPr>
                      <w:rFonts w:ascii="Calibri" w:hAnsi="Calibri"/>
                      <w:kern w:val="2"/>
                      <w:sz w:val="24"/>
                      <w:szCs w:val="24"/>
                    </w:rPr>
                  </w:pPr>
                </w:p>
              </w:tc>
              <w:tc>
                <w:tcPr>
                  <w:tcW w:w="414" w:type="dxa"/>
                  <w:vMerge w:val="continue"/>
                  <w:vAlign w:val="center"/>
                </w:tcPr>
                <w:p w14:paraId="0DE1E62E">
                  <w:pPr>
                    <w:pStyle w:val="86"/>
                    <w:rPr>
                      <w:rFonts w:ascii="Calibri" w:hAnsi="Calibri"/>
                      <w:kern w:val="2"/>
                      <w:sz w:val="24"/>
                      <w:szCs w:val="24"/>
                    </w:rPr>
                  </w:pPr>
                </w:p>
              </w:tc>
              <w:tc>
                <w:tcPr>
                  <w:tcW w:w="469" w:type="dxa"/>
                  <w:vAlign w:val="center"/>
                </w:tcPr>
                <w:p w14:paraId="2E483147">
                  <w:pPr>
                    <w:pStyle w:val="86"/>
                  </w:pPr>
                  <w:r>
                    <w:t>北</w:t>
                  </w:r>
                </w:p>
              </w:tc>
              <w:tc>
                <w:tcPr>
                  <w:tcW w:w="643" w:type="dxa"/>
                  <w:vAlign w:val="center"/>
                </w:tcPr>
                <w:p w14:paraId="22973DF9">
                  <w:pPr>
                    <w:pStyle w:val="86"/>
                  </w:pPr>
                  <w:r>
                    <w:t xml:space="preserve">19.7 </w:t>
                  </w:r>
                </w:p>
              </w:tc>
              <w:tc>
                <w:tcPr>
                  <w:tcW w:w="906" w:type="dxa"/>
                  <w:vAlign w:val="center"/>
                </w:tcPr>
                <w:p w14:paraId="1F313062">
                  <w:pPr>
                    <w:pStyle w:val="86"/>
                  </w:pPr>
                  <w:r>
                    <w:t xml:space="preserve">61.4 </w:t>
                  </w:r>
                </w:p>
              </w:tc>
              <w:tc>
                <w:tcPr>
                  <w:tcW w:w="618" w:type="dxa"/>
                  <w:vMerge w:val="continue"/>
                  <w:vAlign w:val="center"/>
                </w:tcPr>
                <w:p w14:paraId="3D19D88C">
                  <w:pPr>
                    <w:pStyle w:val="86"/>
                    <w:rPr>
                      <w:rFonts w:ascii="Calibri" w:hAnsi="Calibri"/>
                      <w:kern w:val="2"/>
                      <w:sz w:val="24"/>
                      <w:szCs w:val="24"/>
                    </w:rPr>
                  </w:pPr>
                </w:p>
              </w:tc>
              <w:tc>
                <w:tcPr>
                  <w:tcW w:w="906" w:type="dxa"/>
                  <w:vMerge w:val="continue"/>
                  <w:vAlign w:val="center"/>
                </w:tcPr>
                <w:p w14:paraId="23954E80">
                  <w:pPr>
                    <w:pStyle w:val="86"/>
                    <w:rPr>
                      <w:rFonts w:ascii="Calibri" w:hAnsi="Calibri"/>
                      <w:kern w:val="2"/>
                      <w:sz w:val="24"/>
                      <w:szCs w:val="24"/>
                    </w:rPr>
                  </w:pPr>
                </w:p>
              </w:tc>
              <w:tc>
                <w:tcPr>
                  <w:tcW w:w="906" w:type="dxa"/>
                  <w:vAlign w:val="center"/>
                </w:tcPr>
                <w:p w14:paraId="31F13D99">
                  <w:pPr>
                    <w:pStyle w:val="86"/>
                  </w:pPr>
                  <w:r>
                    <w:t xml:space="preserve">36.4 </w:t>
                  </w:r>
                </w:p>
              </w:tc>
              <w:tc>
                <w:tcPr>
                  <w:tcW w:w="527" w:type="dxa"/>
                  <w:vAlign w:val="center"/>
                </w:tcPr>
                <w:p w14:paraId="0ED4D9CC">
                  <w:pPr>
                    <w:pStyle w:val="86"/>
                  </w:pPr>
                  <w:r>
                    <w:t>1</w:t>
                  </w:r>
                </w:p>
              </w:tc>
            </w:tr>
            <w:tr w14:paraId="23DBDD4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160822B1">
                  <w:pPr>
                    <w:pStyle w:val="86"/>
                  </w:pPr>
                  <w:r>
                    <w:t>6</w:t>
                  </w:r>
                </w:p>
              </w:tc>
              <w:tc>
                <w:tcPr>
                  <w:tcW w:w="776" w:type="dxa"/>
                  <w:vMerge w:val="restart"/>
                  <w:vAlign w:val="center"/>
                </w:tcPr>
                <w:p w14:paraId="5127B079">
                  <w:pPr>
                    <w:pStyle w:val="86"/>
                  </w:pPr>
                  <w:r>
                    <w:rPr>
                      <w:rFonts w:hint="eastAsia"/>
                    </w:rPr>
                    <w:t>生产车间</w:t>
                  </w:r>
                </w:p>
              </w:tc>
              <w:tc>
                <w:tcPr>
                  <w:tcW w:w="851" w:type="dxa"/>
                  <w:vMerge w:val="restart"/>
                  <w:vAlign w:val="center"/>
                </w:tcPr>
                <w:p w14:paraId="7AA9F96E">
                  <w:pPr>
                    <w:pStyle w:val="86"/>
                  </w:pPr>
                  <w:r>
                    <w:rPr>
                      <w:rFonts w:hint="eastAsia"/>
                    </w:rPr>
                    <w:t>造粒副机</w:t>
                  </w:r>
                </w:p>
              </w:tc>
              <w:tc>
                <w:tcPr>
                  <w:tcW w:w="668" w:type="dxa"/>
                  <w:vMerge w:val="restart"/>
                  <w:vAlign w:val="center"/>
                </w:tcPr>
                <w:p w14:paraId="65D2EB3E">
                  <w:pPr>
                    <w:pStyle w:val="86"/>
                  </w:pPr>
                  <w:r>
                    <w:t>/</w:t>
                  </w:r>
                </w:p>
              </w:tc>
              <w:tc>
                <w:tcPr>
                  <w:tcW w:w="645" w:type="dxa"/>
                  <w:vMerge w:val="restart"/>
                  <w:vAlign w:val="center"/>
                </w:tcPr>
                <w:p w14:paraId="67979425">
                  <w:pPr>
                    <w:pStyle w:val="86"/>
                  </w:pPr>
                  <w:r>
                    <w:t xml:space="preserve">2 </w:t>
                  </w:r>
                </w:p>
              </w:tc>
              <w:tc>
                <w:tcPr>
                  <w:tcW w:w="972" w:type="dxa"/>
                  <w:vMerge w:val="restart"/>
                  <w:vAlign w:val="center"/>
                </w:tcPr>
                <w:p w14:paraId="3D1B3B7D">
                  <w:pPr>
                    <w:pStyle w:val="86"/>
                  </w:pPr>
                  <w:r>
                    <w:t>75/1</w:t>
                  </w:r>
                </w:p>
              </w:tc>
              <w:tc>
                <w:tcPr>
                  <w:tcW w:w="470" w:type="dxa"/>
                  <w:vMerge w:val="restart"/>
                  <w:vAlign w:val="center"/>
                </w:tcPr>
                <w:p w14:paraId="58C60167">
                  <w:pPr>
                    <w:pStyle w:val="86"/>
                  </w:pPr>
                  <w:r>
                    <w:t>/</w:t>
                  </w:r>
                </w:p>
              </w:tc>
              <w:tc>
                <w:tcPr>
                  <w:tcW w:w="729" w:type="dxa"/>
                  <w:vMerge w:val="restart"/>
                  <w:vAlign w:val="center"/>
                </w:tcPr>
                <w:p w14:paraId="3F30A1D6">
                  <w:pPr>
                    <w:pStyle w:val="86"/>
                  </w:pPr>
                  <w:r>
                    <w:rPr>
                      <w:rFonts w:hint="eastAsia"/>
                    </w:rPr>
                    <w:t>基础减振、厂房隔声</w:t>
                  </w:r>
                </w:p>
              </w:tc>
              <w:tc>
                <w:tcPr>
                  <w:tcW w:w="469" w:type="dxa"/>
                  <w:vMerge w:val="restart"/>
                  <w:vAlign w:val="center"/>
                </w:tcPr>
                <w:p w14:paraId="47BD6B47">
                  <w:pPr>
                    <w:pStyle w:val="86"/>
                  </w:pPr>
                  <w:r>
                    <w:t>68</w:t>
                  </w:r>
                </w:p>
              </w:tc>
              <w:tc>
                <w:tcPr>
                  <w:tcW w:w="469" w:type="dxa"/>
                  <w:vMerge w:val="restart"/>
                  <w:vAlign w:val="center"/>
                </w:tcPr>
                <w:p w14:paraId="48C96925">
                  <w:pPr>
                    <w:pStyle w:val="86"/>
                  </w:pPr>
                  <w:r>
                    <w:t>14</w:t>
                  </w:r>
                </w:p>
              </w:tc>
              <w:tc>
                <w:tcPr>
                  <w:tcW w:w="414" w:type="dxa"/>
                  <w:vMerge w:val="restart"/>
                  <w:vAlign w:val="center"/>
                </w:tcPr>
                <w:p w14:paraId="71D38EEC">
                  <w:pPr>
                    <w:pStyle w:val="86"/>
                  </w:pPr>
                  <w:r>
                    <w:t>1</w:t>
                  </w:r>
                </w:p>
              </w:tc>
              <w:tc>
                <w:tcPr>
                  <w:tcW w:w="469" w:type="dxa"/>
                  <w:vAlign w:val="center"/>
                </w:tcPr>
                <w:p w14:paraId="5C1EF5CF">
                  <w:pPr>
                    <w:pStyle w:val="86"/>
                  </w:pPr>
                  <w:r>
                    <w:t>东</w:t>
                  </w:r>
                </w:p>
              </w:tc>
              <w:tc>
                <w:tcPr>
                  <w:tcW w:w="643" w:type="dxa"/>
                  <w:vAlign w:val="center"/>
                </w:tcPr>
                <w:p w14:paraId="2AC8ECA1">
                  <w:pPr>
                    <w:pStyle w:val="86"/>
                  </w:pPr>
                  <w:r>
                    <w:t xml:space="preserve">24.4 </w:t>
                  </w:r>
                </w:p>
              </w:tc>
              <w:tc>
                <w:tcPr>
                  <w:tcW w:w="906" w:type="dxa"/>
                  <w:vAlign w:val="center"/>
                </w:tcPr>
                <w:p w14:paraId="792A9B93">
                  <w:pPr>
                    <w:pStyle w:val="86"/>
                  </w:pPr>
                  <w:r>
                    <w:t xml:space="preserve">61.0 </w:t>
                  </w:r>
                </w:p>
              </w:tc>
              <w:tc>
                <w:tcPr>
                  <w:tcW w:w="618" w:type="dxa"/>
                  <w:vMerge w:val="restart"/>
                  <w:vAlign w:val="center"/>
                </w:tcPr>
                <w:p w14:paraId="729F545B">
                  <w:pPr>
                    <w:pStyle w:val="86"/>
                  </w:pPr>
                  <w:r>
                    <w:rPr>
                      <w:rFonts w:hint="eastAsia"/>
                    </w:rPr>
                    <w:t>持续运行</w:t>
                  </w:r>
                </w:p>
              </w:tc>
              <w:tc>
                <w:tcPr>
                  <w:tcW w:w="906" w:type="dxa"/>
                  <w:vMerge w:val="restart"/>
                  <w:vAlign w:val="center"/>
                </w:tcPr>
                <w:p w14:paraId="65740DEF">
                  <w:pPr>
                    <w:pStyle w:val="86"/>
                  </w:pPr>
                  <w:r>
                    <w:t>25</w:t>
                  </w:r>
                </w:p>
              </w:tc>
              <w:tc>
                <w:tcPr>
                  <w:tcW w:w="906" w:type="dxa"/>
                  <w:vAlign w:val="center"/>
                </w:tcPr>
                <w:p w14:paraId="304772CD">
                  <w:pPr>
                    <w:pStyle w:val="86"/>
                  </w:pPr>
                  <w:r>
                    <w:t xml:space="preserve">36.0 </w:t>
                  </w:r>
                </w:p>
              </w:tc>
              <w:tc>
                <w:tcPr>
                  <w:tcW w:w="527" w:type="dxa"/>
                  <w:vAlign w:val="center"/>
                </w:tcPr>
                <w:p w14:paraId="400BE84E">
                  <w:pPr>
                    <w:pStyle w:val="86"/>
                  </w:pPr>
                  <w:r>
                    <w:t>1</w:t>
                  </w:r>
                </w:p>
              </w:tc>
            </w:tr>
            <w:tr w14:paraId="214ACB1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44C446E1">
                  <w:pPr>
                    <w:pStyle w:val="86"/>
                    <w:rPr>
                      <w:rFonts w:ascii="Calibri" w:hAnsi="Calibri"/>
                      <w:kern w:val="2"/>
                      <w:sz w:val="24"/>
                      <w:szCs w:val="24"/>
                    </w:rPr>
                  </w:pPr>
                </w:p>
              </w:tc>
              <w:tc>
                <w:tcPr>
                  <w:tcW w:w="776" w:type="dxa"/>
                  <w:vMerge w:val="continue"/>
                  <w:vAlign w:val="center"/>
                </w:tcPr>
                <w:p w14:paraId="38E00306">
                  <w:pPr>
                    <w:pStyle w:val="86"/>
                    <w:rPr>
                      <w:rFonts w:ascii="Calibri" w:hAnsi="Calibri"/>
                      <w:kern w:val="2"/>
                      <w:sz w:val="24"/>
                      <w:szCs w:val="24"/>
                    </w:rPr>
                  </w:pPr>
                </w:p>
              </w:tc>
              <w:tc>
                <w:tcPr>
                  <w:tcW w:w="851" w:type="dxa"/>
                  <w:vMerge w:val="continue"/>
                  <w:vAlign w:val="center"/>
                </w:tcPr>
                <w:p w14:paraId="04E0DC7E">
                  <w:pPr>
                    <w:pStyle w:val="86"/>
                    <w:rPr>
                      <w:rFonts w:ascii="Calibri" w:hAnsi="Calibri"/>
                      <w:kern w:val="2"/>
                      <w:sz w:val="24"/>
                      <w:szCs w:val="24"/>
                    </w:rPr>
                  </w:pPr>
                </w:p>
              </w:tc>
              <w:tc>
                <w:tcPr>
                  <w:tcW w:w="668" w:type="dxa"/>
                  <w:vMerge w:val="continue"/>
                  <w:vAlign w:val="center"/>
                </w:tcPr>
                <w:p w14:paraId="4177830C">
                  <w:pPr>
                    <w:pStyle w:val="86"/>
                    <w:rPr>
                      <w:rFonts w:ascii="Calibri" w:hAnsi="Calibri"/>
                      <w:kern w:val="2"/>
                      <w:sz w:val="24"/>
                      <w:szCs w:val="24"/>
                    </w:rPr>
                  </w:pPr>
                </w:p>
              </w:tc>
              <w:tc>
                <w:tcPr>
                  <w:tcW w:w="645" w:type="dxa"/>
                  <w:vMerge w:val="continue"/>
                  <w:vAlign w:val="center"/>
                </w:tcPr>
                <w:p w14:paraId="20EB42D2">
                  <w:pPr>
                    <w:pStyle w:val="86"/>
                    <w:rPr>
                      <w:rFonts w:ascii="Calibri" w:hAnsi="Calibri"/>
                      <w:kern w:val="2"/>
                      <w:sz w:val="24"/>
                      <w:szCs w:val="24"/>
                    </w:rPr>
                  </w:pPr>
                </w:p>
              </w:tc>
              <w:tc>
                <w:tcPr>
                  <w:tcW w:w="972" w:type="dxa"/>
                  <w:vMerge w:val="continue"/>
                  <w:vAlign w:val="center"/>
                </w:tcPr>
                <w:p w14:paraId="7C6F357F">
                  <w:pPr>
                    <w:pStyle w:val="86"/>
                    <w:rPr>
                      <w:rFonts w:ascii="Calibri" w:hAnsi="Calibri"/>
                      <w:kern w:val="2"/>
                      <w:sz w:val="24"/>
                      <w:szCs w:val="24"/>
                    </w:rPr>
                  </w:pPr>
                </w:p>
              </w:tc>
              <w:tc>
                <w:tcPr>
                  <w:tcW w:w="470" w:type="dxa"/>
                  <w:vMerge w:val="continue"/>
                  <w:vAlign w:val="center"/>
                </w:tcPr>
                <w:p w14:paraId="516446B7">
                  <w:pPr>
                    <w:pStyle w:val="86"/>
                    <w:rPr>
                      <w:rFonts w:ascii="Calibri" w:hAnsi="Calibri"/>
                      <w:kern w:val="2"/>
                      <w:sz w:val="24"/>
                      <w:szCs w:val="24"/>
                    </w:rPr>
                  </w:pPr>
                </w:p>
              </w:tc>
              <w:tc>
                <w:tcPr>
                  <w:tcW w:w="729" w:type="dxa"/>
                  <w:vMerge w:val="continue"/>
                  <w:vAlign w:val="center"/>
                </w:tcPr>
                <w:p w14:paraId="0EF9C4CF">
                  <w:pPr>
                    <w:pStyle w:val="86"/>
                    <w:rPr>
                      <w:rFonts w:ascii="Calibri" w:hAnsi="Calibri"/>
                      <w:kern w:val="2"/>
                      <w:sz w:val="24"/>
                      <w:szCs w:val="24"/>
                    </w:rPr>
                  </w:pPr>
                </w:p>
              </w:tc>
              <w:tc>
                <w:tcPr>
                  <w:tcW w:w="469" w:type="dxa"/>
                  <w:vMerge w:val="continue"/>
                  <w:vAlign w:val="center"/>
                </w:tcPr>
                <w:p w14:paraId="1EFFE303">
                  <w:pPr>
                    <w:pStyle w:val="86"/>
                    <w:rPr>
                      <w:rFonts w:ascii="Calibri" w:hAnsi="Calibri"/>
                      <w:kern w:val="2"/>
                      <w:sz w:val="24"/>
                      <w:szCs w:val="24"/>
                    </w:rPr>
                  </w:pPr>
                </w:p>
              </w:tc>
              <w:tc>
                <w:tcPr>
                  <w:tcW w:w="469" w:type="dxa"/>
                  <w:vMerge w:val="continue"/>
                  <w:vAlign w:val="center"/>
                </w:tcPr>
                <w:p w14:paraId="59B4AB34">
                  <w:pPr>
                    <w:pStyle w:val="86"/>
                    <w:rPr>
                      <w:rFonts w:ascii="Calibri" w:hAnsi="Calibri"/>
                      <w:kern w:val="2"/>
                      <w:sz w:val="24"/>
                      <w:szCs w:val="24"/>
                    </w:rPr>
                  </w:pPr>
                </w:p>
              </w:tc>
              <w:tc>
                <w:tcPr>
                  <w:tcW w:w="414" w:type="dxa"/>
                  <w:vMerge w:val="continue"/>
                  <w:vAlign w:val="center"/>
                </w:tcPr>
                <w:p w14:paraId="0318BDD0">
                  <w:pPr>
                    <w:pStyle w:val="86"/>
                    <w:rPr>
                      <w:rFonts w:ascii="Calibri" w:hAnsi="Calibri"/>
                      <w:kern w:val="2"/>
                      <w:sz w:val="24"/>
                      <w:szCs w:val="24"/>
                    </w:rPr>
                  </w:pPr>
                </w:p>
              </w:tc>
              <w:tc>
                <w:tcPr>
                  <w:tcW w:w="469" w:type="dxa"/>
                  <w:vAlign w:val="center"/>
                </w:tcPr>
                <w:p w14:paraId="673698D2">
                  <w:pPr>
                    <w:pStyle w:val="86"/>
                  </w:pPr>
                  <w:r>
                    <w:t>南</w:t>
                  </w:r>
                </w:p>
              </w:tc>
              <w:tc>
                <w:tcPr>
                  <w:tcW w:w="643" w:type="dxa"/>
                  <w:vAlign w:val="center"/>
                </w:tcPr>
                <w:p w14:paraId="34919C57">
                  <w:pPr>
                    <w:pStyle w:val="86"/>
                  </w:pPr>
                  <w:r>
                    <w:t xml:space="preserve">27.6 </w:t>
                  </w:r>
                </w:p>
              </w:tc>
              <w:tc>
                <w:tcPr>
                  <w:tcW w:w="906" w:type="dxa"/>
                  <w:vAlign w:val="center"/>
                </w:tcPr>
                <w:p w14:paraId="51277D3C">
                  <w:pPr>
                    <w:pStyle w:val="86"/>
                  </w:pPr>
                  <w:r>
                    <w:t xml:space="preserve">60.5 </w:t>
                  </w:r>
                </w:p>
              </w:tc>
              <w:tc>
                <w:tcPr>
                  <w:tcW w:w="618" w:type="dxa"/>
                  <w:vMerge w:val="continue"/>
                  <w:vAlign w:val="center"/>
                </w:tcPr>
                <w:p w14:paraId="72FC5982">
                  <w:pPr>
                    <w:pStyle w:val="86"/>
                    <w:rPr>
                      <w:rFonts w:ascii="Calibri" w:hAnsi="Calibri"/>
                      <w:kern w:val="2"/>
                      <w:sz w:val="24"/>
                      <w:szCs w:val="24"/>
                    </w:rPr>
                  </w:pPr>
                </w:p>
              </w:tc>
              <w:tc>
                <w:tcPr>
                  <w:tcW w:w="906" w:type="dxa"/>
                  <w:vMerge w:val="continue"/>
                  <w:vAlign w:val="center"/>
                </w:tcPr>
                <w:p w14:paraId="5602D3F3">
                  <w:pPr>
                    <w:pStyle w:val="86"/>
                    <w:rPr>
                      <w:rFonts w:ascii="Calibri" w:hAnsi="Calibri"/>
                      <w:kern w:val="2"/>
                      <w:sz w:val="24"/>
                      <w:szCs w:val="24"/>
                    </w:rPr>
                  </w:pPr>
                </w:p>
              </w:tc>
              <w:tc>
                <w:tcPr>
                  <w:tcW w:w="906" w:type="dxa"/>
                  <w:vAlign w:val="center"/>
                </w:tcPr>
                <w:p w14:paraId="4589F7B4">
                  <w:pPr>
                    <w:pStyle w:val="86"/>
                  </w:pPr>
                  <w:r>
                    <w:t xml:space="preserve">35.5 </w:t>
                  </w:r>
                </w:p>
              </w:tc>
              <w:tc>
                <w:tcPr>
                  <w:tcW w:w="527" w:type="dxa"/>
                  <w:vAlign w:val="center"/>
                </w:tcPr>
                <w:p w14:paraId="58F099D8">
                  <w:pPr>
                    <w:pStyle w:val="86"/>
                  </w:pPr>
                  <w:r>
                    <w:t>1</w:t>
                  </w:r>
                </w:p>
              </w:tc>
            </w:tr>
            <w:tr w14:paraId="69BCE09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4D5CE540">
                  <w:pPr>
                    <w:pStyle w:val="86"/>
                    <w:rPr>
                      <w:rFonts w:ascii="Calibri" w:hAnsi="Calibri"/>
                      <w:kern w:val="2"/>
                      <w:sz w:val="24"/>
                      <w:szCs w:val="24"/>
                    </w:rPr>
                  </w:pPr>
                </w:p>
              </w:tc>
              <w:tc>
                <w:tcPr>
                  <w:tcW w:w="776" w:type="dxa"/>
                  <w:vMerge w:val="continue"/>
                  <w:vAlign w:val="center"/>
                </w:tcPr>
                <w:p w14:paraId="7FD3AA2D">
                  <w:pPr>
                    <w:pStyle w:val="86"/>
                    <w:rPr>
                      <w:rFonts w:ascii="Calibri" w:hAnsi="Calibri"/>
                      <w:kern w:val="2"/>
                      <w:sz w:val="24"/>
                      <w:szCs w:val="24"/>
                    </w:rPr>
                  </w:pPr>
                </w:p>
              </w:tc>
              <w:tc>
                <w:tcPr>
                  <w:tcW w:w="851" w:type="dxa"/>
                  <w:vMerge w:val="continue"/>
                  <w:vAlign w:val="center"/>
                </w:tcPr>
                <w:p w14:paraId="7634900F">
                  <w:pPr>
                    <w:pStyle w:val="86"/>
                    <w:rPr>
                      <w:rFonts w:ascii="Calibri" w:hAnsi="Calibri"/>
                      <w:kern w:val="2"/>
                      <w:sz w:val="24"/>
                      <w:szCs w:val="24"/>
                    </w:rPr>
                  </w:pPr>
                </w:p>
              </w:tc>
              <w:tc>
                <w:tcPr>
                  <w:tcW w:w="668" w:type="dxa"/>
                  <w:vMerge w:val="continue"/>
                  <w:vAlign w:val="center"/>
                </w:tcPr>
                <w:p w14:paraId="59877846">
                  <w:pPr>
                    <w:pStyle w:val="86"/>
                    <w:rPr>
                      <w:rFonts w:ascii="Calibri" w:hAnsi="Calibri"/>
                      <w:kern w:val="2"/>
                      <w:sz w:val="24"/>
                      <w:szCs w:val="24"/>
                    </w:rPr>
                  </w:pPr>
                </w:p>
              </w:tc>
              <w:tc>
                <w:tcPr>
                  <w:tcW w:w="645" w:type="dxa"/>
                  <w:vMerge w:val="continue"/>
                  <w:vAlign w:val="center"/>
                </w:tcPr>
                <w:p w14:paraId="3D1DF3C4">
                  <w:pPr>
                    <w:pStyle w:val="86"/>
                    <w:rPr>
                      <w:rFonts w:ascii="Calibri" w:hAnsi="Calibri"/>
                      <w:kern w:val="2"/>
                      <w:sz w:val="24"/>
                      <w:szCs w:val="24"/>
                    </w:rPr>
                  </w:pPr>
                </w:p>
              </w:tc>
              <w:tc>
                <w:tcPr>
                  <w:tcW w:w="972" w:type="dxa"/>
                  <w:vMerge w:val="continue"/>
                  <w:vAlign w:val="center"/>
                </w:tcPr>
                <w:p w14:paraId="411D73FB">
                  <w:pPr>
                    <w:pStyle w:val="86"/>
                    <w:rPr>
                      <w:rFonts w:ascii="Calibri" w:hAnsi="Calibri"/>
                      <w:kern w:val="2"/>
                      <w:sz w:val="24"/>
                      <w:szCs w:val="24"/>
                    </w:rPr>
                  </w:pPr>
                </w:p>
              </w:tc>
              <w:tc>
                <w:tcPr>
                  <w:tcW w:w="470" w:type="dxa"/>
                  <w:vMerge w:val="continue"/>
                  <w:vAlign w:val="center"/>
                </w:tcPr>
                <w:p w14:paraId="21F72C7E">
                  <w:pPr>
                    <w:pStyle w:val="86"/>
                    <w:rPr>
                      <w:rFonts w:ascii="Calibri" w:hAnsi="Calibri"/>
                      <w:kern w:val="2"/>
                      <w:sz w:val="24"/>
                      <w:szCs w:val="24"/>
                    </w:rPr>
                  </w:pPr>
                </w:p>
              </w:tc>
              <w:tc>
                <w:tcPr>
                  <w:tcW w:w="729" w:type="dxa"/>
                  <w:vMerge w:val="continue"/>
                  <w:vAlign w:val="center"/>
                </w:tcPr>
                <w:p w14:paraId="22729C1E">
                  <w:pPr>
                    <w:pStyle w:val="86"/>
                    <w:rPr>
                      <w:rFonts w:ascii="Calibri" w:hAnsi="Calibri"/>
                      <w:kern w:val="2"/>
                      <w:sz w:val="24"/>
                      <w:szCs w:val="24"/>
                    </w:rPr>
                  </w:pPr>
                </w:p>
              </w:tc>
              <w:tc>
                <w:tcPr>
                  <w:tcW w:w="469" w:type="dxa"/>
                  <w:vMerge w:val="continue"/>
                  <w:vAlign w:val="center"/>
                </w:tcPr>
                <w:p w14:paraId="21DBE32C">
                  <w:pPr>
                    <w:pStyle w:val="86"/>
                    <w:rPr>
                      <w:rFonts w:ascii="Calibri" w:hAnsi="Calibri"/>
                      <w:kern w:val="2"/>
                      <w:sz w:val="24"/>
                      <w:szCs w:val="24"/>
                    </w:rPr>
                  </w:pPr>
                </w:p>
              </w:tc>
              <w:tc>
                <w:tcPr>
                  <w:tcW w:w="469" w:type="dxa"/>
                  <w:vMerge w:val="continue"/>
                  <w:vAlign w:val="center"/>
                </w:tcPr>
                <w:p w14:paraId="0BA6D246">
                  <w:pPr>
                    <w:pStyle w:val="86"/>
                    <w:rPr>
                      <w:rFonts w:ascii="Calibri" w:hAnsi="Calibri"/>
                      <w:kern w:val="2"/>
                      <w:sz w:val="24"/>
                      <w:szCs w:val="24"/>
                    </w:rPr>
                  </w:pPr>
                </w:p>
              </w:tc>
              <w:tc>
                <w:tcPr>
                  <w:tcW w:w="414" w:type="dxa"/>
                  <w:vMerge w:val="continue"/>
                  <w:vAlign w:val="center"/>
                </w:tcPr>
                <w:p w14:paraId="19DD7F41">
                  <w:pPr>
                    <w:pStyle w:val="86"/>
                    <w:rPr>
                      <w:rFonts w:ascii="Calibri" w:hAnsi="Calibri"/>
                      <w:kern w:val="2"/>
                      <w:sz w:val="24"/>
                      <w:szCs w:val="24"/>
                    </w:rPr>
                  </w:pPr>
                </w:p>
              </w:tc>
              <w:tc>
                <w:tcPr>
                  <w:tcW w:w="469" w:type="dxa"/>
                  <w:vAlign w:val="center"/>
                </w:tcPr>
                <w:p w14:paraId="6167A073">
                  <w:pPr>
                    <w:pStyle w:val="86"/>
                  </w:pPr>
                  <w:r>
                    <w:t>西</w:t>
                  </w:r>
                </w:p>
              </w:tc>
              <w:tc>
                <w:tcPr>
                  <w:tcW w:w="643" w:type="dxa"/>
                  <w:vAlign w:val="center"/>
                </w:tcPr>
                <w:p w14:paraId="5F8352B0">
                  <w:pPr>
                    <w:pStyle w:val="86"/>
                  </w:pPr>
                  <w:r>
                    <w:t xml:space="preserve">67.0 </w:t>
                  </w:r>
                </w:p>
              </w:tc>
              <w:tc>
                <w:tcPr>
                  <w:tcW w:w="906" w:type="dxa"/>
                  <w:vAlign w:val="center"/>
                </w:tcPr>
                <w:p w14:paraId="4C080DE4">
                  <w:pPr>
                    <w:pStyle w:val="86"/>
                  </w:pPr>
                  <w:r>
                    <w:t xml:space="preserve">60.3 </w:t>
                  </w:r>
                </w:p>
              </w:tc>
              <w:tc>
                <w:tcPr>
                  <w:tcW w:w="618" w:type="dxa"/>
                  <w:vMerge w:val="continue"/>
                  <w:vAlign w:val="center"/>
                </w:tcPr>
                <w:p w14:paraId="6C09C981">
                  <w:pPr>
                    <w:pStyle w:val="86"/>
                    <w:rPr>
                      <w:rFonts w:ascii="Calibri" w:hAnsi="Calibri"/>
                      <w:kern w:val="2"/>
                      <w:sz w:val="24"/>
                      <w:szCs w:val="24"/>
                    </w:rPr>
                  </w:pPr>
                </w:p>
              </w:tc>
              <w:tc>
                <w:tcPr>
                  <w:tcW w:w="906" w:type="dxa"/>
                  <w:vMerge w:val="continue"/>
                  <w:vAlign w:val="center"/>
                </w:tcPr>
                <w:p w14:paraId="4E84465C">
                  <w:pPr>
                    <w:pStyle w:val="86"/>
                    <w:rPr>
                      <w:rFonts w:ascii="Calibri" w:hAnsi="Calibri"/>
                      <w:kern w:val="2"/>
                      <w:sz w:val="24"/>
                      <w:szCs w:val="24"/>
                    </w:rPr>
                  </w:pPr>
                </w:p>
              </w:tc>
              <w:tc>
                <w:tcPr>
                  <w:tcW w:w="906" w:type="dxa"/>
                  <w:vAlign w:val="center"/>
                </w:tcPr>
                <w:p w14:paraId="438C11DC">
                  <w:pPr>
                    <w:pStyle w:val="86"/>
                  </w:pPr>
                  <w:r>
                    <w:t xml:space="preserve">35.3 </w:t>
                  </w:r>
                </w:p>
              </w:tc>
              <w:tc>
                <w:tcPr>
                  <w:tcW w:w="527" w:type="dxa"/>
                  <w:vAlign w:val="center"/>
                </w:tcPr>
                <w:p w14:paraId="6F9607F9">
                  <w:pPr>
                    <w:pStyle w:val="86"/>
                  </w:pPr>
                  <w:r>
                    <w:t>1</w:t>
                  </w:r>
                </w:p>
              </w:tc>
            </w:tr>
            <w:tr w14:paraId="5D99758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0E016B9C">
                  <w:pPr>
                    <w:pStyle w:val="86"/>
                    <w:rPr>
                      <w:rFonts w:ascii="Calibri" w:hAnsi="Calibri"/>
                      <w:kern w:val="2"/>
                      <w:sz w:val="24"/>
                      <w:szCs w:val="24"/>
                    </w:rPr>
                  </w:pPr>
                </w:p>
              </w:tc>
              <w:tc>
                <w:tcPr>
                  <w:tcW w:w="776" w:type="dxa"/>
                  <w:vMerge w:val="continue"/>
                  <w:vAlign w:val="center"/>
                </w:tcPr>
                <w:p w14:paraId="6789F638">
                  <w:pPr>
                    <w:pStyle w:val="86"/>
                    <w:rPr>
                      <w:rFonts w:ascii="Calibri" w:hAnsi="Calibri"/>
                      <w:kern w:val="2"/>
                      <w:sz w:val="24"/>
                      <w:szCs w:val="24"/>
                    </w:rPr>
                  </w:pPr>
                </w:p>
              </w:tc>
              <w:tc>
                <w:tcPr>
                  <w:tcW w:w="851" w:type="dxa"/>
                  <w:vMerge w:val="continue"/>
                  <w:vAlign w:val="center"/>
                </w:tcPr>
                <w:p w14:paraId="32B7A52D">
                  <w:pPr>
                    <w:pStyle w:val="86"/>
                    <w:rPr>
                      <w:rFonts w:ascii="Calibri" w:hAnsi="Calibri"/>
                      <w:kern w:val="2"/>
                      <w:sz w:val="24"/>
                      <w:szCs w:val="24"/>
                    </w:rPr>
                  </w:pPr>
                </w:p>
              </w:tc>
              <w:tc>
                <w:tcPr>
                  <w:tcW w:w="668" w:type="dxa"/>
                  <w:vMerge w:val="continue"/>
                  <w:vAlign w:val="center"/>
                </w:tcPr>
                <w:p w14:paraId="4A48793A">
                  <w:pPr>
                    <w:pStyle w:val="86"/>
                    <w:rPr>
                      <w:rFonts w:ascii="Calibri" w:hAnsi="Calibri"/>
                      <w:kern w:val="2"/>
                      <w:sz w:val="24"/>
                      <w:szCs w:val="24"/>
                    </w:rPr>
                  </w:pPr>
                </w:p>
              </w:tc>
              <w:tc>
                <w:tcPr>
                  <w:tcW w:w="645" w:type="dxa"/>
                  <w:vMerge w:val="continue"/>
                  <w:vAlign w:val="center"/>
                </w:tcPr>
                <w:p w14:paraId="595F83A8">
                  <w:pPr>
                    <w:pStyle w:val="86"/>
                    <w:rPr>
                      <w:rFonts w:ascii="Calibri" w:hAnsi="Calibri"/>
                      <w:kern w:val="2"/>
                      <w:sz w:val="24"/>
                      <w:szCs w:val="24"/>
                    </w:rPr>
                  </w:pPr>
                </w:p>
              </w:tc>
              <w:tc>
                <w:tcPr>
                  <w:tcW w:w="972" w:type="dxa"/>
                  <w:vMerge w:val="continue"/>
                  <w:vAlign w:val="center"/>
                </w:tcPr>
                <w:p w14:paraId="404A98DA">
                  <w:pPr>
                    <w:pStyle w:val="86"/>
                    <w:rPr>
                      <w:rFonts w:ascii="Calibri" w:hAnsi="Calibri"/>
                      <w:kern w:val="2"/>
                      <w:sz w:val="24"/>
                      <w:szCs w:val="24"/>
                    </w:rPr>
                  </w:pPr>
                </w:p>
              </w:tc>
              <w:tc>
                <w:tcPr>
                  <w:tcW w:w="470" w:type="dxa"/>
                  <w:vMerge w:val="continue"/>
                  <w:vAlign w:val="center"/>
                </w:tcPr>
                <w:p w14:paraId="08D6AE5A">
                  <w:pPr>
                    <w:pStyle w:val="86"/>
                    <w:rPr>
                      <w:rFonts w:ascii="Calibri" w:hAnsi="Calibri"/>
                      <w:kern w:val="2"/>
                      <w:sz w:val="24"/>
                      <w:szCs w:val="24"/>
                    </w:rPr>
                  </w:pPr>
                </w:p>
              </w:tc>
              <w:tc>
                <w:tcPr>
                  <w:tcW w:w="729" w:type="dxa"/>
                  <w:vMerge w:val="continue"/>
                  <w:vAlign w:val="center"/>
                </w:tcPr>
                <w:p w14:paraId="2EEB6D4A">
                  <w:pPr>
                    <w:pStyle w:val="86"/>
                    <w:rPr>
                      <w:rFonts w:ascii="Calibri" w:hAnsi="Calibri"/>
                      <w:kern w:val="2"/>
                      <w:sz w:val="24"/>
                      <w:szCs w:val="24"/>
                    </w:rPr>
                  </w:pPr>
                </w:p>
              </w:tc>
              <w:tc>
                <w:tcPr>
                  <w:tcW w:w="469" w:type="dxa"/>
                  <w:vMerge w:val="continue"/>
                  <w:vAlign w:val="center"/>
                </w:tcPr>
                <w:p w14:paraId="18CC8B5F">
                  <w:pPr>
                    <w:pStyle w:val="86"/>
                    <w:rPr>
                      <w:rFonts w:ascii="Calibri" w:hAnsi="Calibri"/>
                      <w:kern w:val="2"/>
                      <w:sz w:val="24"/>
                      <w:szCs w:val="24"/>
                    </w:rPr>
                  </w:pPr>
                </w:p>
              </w:tc>
              <w:tc>
                <w:tcPr>
                  <w:tcW w:w="469" w:type="dxa"/>
                  <w:vMerge w:val="continue"/>
                  <w:vAlign w:val="center"/>
                </w:tcPr>
                <w:p w14:paraId="7A0B8D08">
                  <w:pPr>
                    <w:pStyle w:val="86"/>
                    <w:rPr>
                      <w:rFonts w:ascii="Calibri" w:hAnsi="Calibri"/>
                      <w:kern w:val="2"/>
                      <w:sz w:val="24"/>
                      <w:szCs w:val="24"/>
                    </w:rPr>
                  </w:pPr>
                </w:p>
              </w:tc>
              <w:tc>
                <w:tcPr>
                  <w:tcW w:w="414" w:type="dxa"/>
                  <w:vMerge w:val="continue"/>
                  <w:vAlign w:val="center"/>
                </w:tcPr>
                <w:p w14:paraId="282E5DB9">
                  <w:pPr>
                    <w:pStyle w:val="86"/>
                    <w:rPr>
                      <w:rFonts w:ascii="Calibri" w:hAnsi="Calibri"/>
                      <w:kern w:val="2"/>
                      <w:sz w:val="24"/>
                      <w:szCs w:val="24"/>
                    </w:rPr>
                  </w:pPr>
                </w:p>
              </w:tc>
              <w:tc>
                <w:tcPr>
                  <w:tcW w:w="469" w:type="dxa"/>
                  <w:vAlign w:val="center"/>
                </w:tcPr>
                <w:p w14:paraId="15CE58C1">
                  <w:pPr>
                    <w:pStyle w:val="86"/>
                  </w:pPr>
                  <w:r>
                    <w:t>北</w:t>
                  </w:r>
                </w:p>
              </w:tc>
              <w:tc>
                <w:tcPr>
                  <w:tcW w:w="643" w:type="dxa"/>
                  <w:vAlign w:val="center"/>
                </w:tcPr>
                <w:p w14:paraId="282F8FB9">
                  <w:pPr>
                    <w:pStyle w:val="86"/>
                  </w:pPr>
                  <w:r>
                    <w:t xml:space="preserve">25.1 </w:t>
                  </w:r>
                </w:p>
              </w:tc>
              <w:tc>
                <w:tcPr>
                  <w:tcW w:w="906" w:type="dxa"/>
                  <w:vAlign w:val="center"/>
                </w:tcPr>
                <w:p w14:paraId="43A97B1B">
                  <w:pPr>
                    <w:pStyle w:val="86"/>
                  </w:pPr>
                  <w:r>
                    <w:t xml:space="preserve">61.0 </w:t>
                  </w:r>
                </w:p>
              </w:tc>
              <w:tc>
                <w:tcPr>
                  <w:tcW w:w="618" w:type="dxa"/>
                  <w:vMerge w:val="continue"/>
                  <w:vAlign w:val="center"/>
                </w:tcPr>
                <w:p w14:paraId="57E49EE9">
                  <w:pPr>
                    <w:pStyle w:val="86"/>
                    <w:rPr>
                      <w:rFonts w:ascii="Calibri" w:hAnsi="Calibri"/>
                      <w:kern w:val="2"/>
                      <w:sz w:val="24"/>
                      <w:szCs w:val="24"/>
                    </w:rPr>
                  </w:pPr>
                </w:p>
              </w:tc>
              <w:tc>
                <w:tcPr>
                  <w:tcW w:w="906" w:type="dxa"/>
                  <w:vMerge w:val="continue"/>
                  <w:vAlign w:val="center"/>
                </w:tcPr>
                <w:p w14:paraId="78B14441">
                  <w:pPr>
                    <w:pStyle w:val="86"/>
                    <w:rPr>
                      <w:rFonts w:ascii="Calibri" w:hAnsi="Calibri"/>
                      <w:kern w:val="2"/>
                      <w:sz w:val="24"/>
                      <w:szCs w:val="24"/>
                    </w:rPr>
                  </w:pPr>
                </w:p>
              </w:tc>
              <w:tc>
                <w:tcPr>
                  <w:tcW w:w="906" w:type="dxa"/>
                  <w:vAlign w:val="center"/>
                </w:tcPr>
                <w:p w14:paraId="43947C3B">
                  <w:pPr>
                    <w:pStyle w:val="86"/>
                  </w:pPr>
                  <w:r>
                    <w:t xml:space="preserve">36.0 </w:t>
                  </w:r>
                </w:p>
              </w:tc>
              <w:tc>
                <w:tcPr>
                  <w:tcW w:w="527" w:type="dxa"/>
                  <w:vAlign w:val="center"/>
                </w:tcPr>
                <w:p w14:paraId="326EBEC6">
                  <w:pPr>
                    <w:pStyle w:val="86"/>
                  </w:pPr>
                  <w:r>
                    <w:t>1</w:t>
                  </w:r>
                </w:p>
              </w:tc>
            </w:tr>
            <w:tr w14:paraId="3FA880B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633E1CA5">
                  <w:pPr>
                    <w:pStyle w:val="86"/>
                  </w:pPr>
                  <w:r>
                    <w:t>7</w:t>
                  </w:r>
                </w:p>
              </w:tc>
              <w:tc>
                <w:tcPr>
                  <w:tcW w:w="776" w:type="dxa"/>
                  <w:vMerge w:val="restart"/>
                  <w:vAlign w:val="center"/>
                </w:tcPr>
                <w:p w14:paraId="60DDE205">
                  <w:pPr>
                    <w:pStyle w:val="86"/>
                  </w:pPr>
                  <w:r>
                    <w:rPr>
                      <w:rFonts w:hint="eastAsia"/>
                    </w:rPr>
                    <w:t>生产车间</w:t>
                  </w:r>
                </w:p>
              </w:tc>
              <w:tc>
                <w:tcPr>
                  <w:tcW w:w="851" w:type="dxa"/>
                  <w:vMerge w:val="restart"/>
                  <w:vAlign w:val="center"/>
                </w:tcPr>
                <w:p w14:paraId="3B34D23A">
                  <w:pPr>
                    <w:pStyle w:val="86"/>
                  </w:pPr>
                  <w:r>
                    <w:rPr>
                      <w:rFonts w:hint="eastAsia"/>
                    </w:rPr>
                    <w:t>造粒副机</w:t>
                  </w:r>
                </w:p>
              </w:tc>
              <w:tc>
                <w:tcPr>
                  <w:tcW w:w="668" w:type="dxa"/>
                  <w:vMerge w:val="restart"/>
                  <w:vAlign w:val="center"/>
                </w:tcPr>
                <w:p w14:paraId="7471D0EF">
                  <w:pPr>
                    <w:pStyle w:val="86"/>
                  </w:pPr>
                  <w:r>
                    <w:t>/</w:t>
                  </w:r>
                </w:p>
              </w:tc>
              <w:tc>
                <w:tcPr>
                  <w:tcW w:w="645" w:type="dxa"/>
                  <w:vMerge w:val="restart"/>
                  <w:vAlign w:val="center"/>
                </w:tcPr>
                <w:p w14:paraId="4D69672C">
                  <w:pPr>
                    <w:pStyle w:val="86"/>
                  </w:pPr>
                  <w:r>
                    <w:t xml:space="preserve">2 </w:t>
                  </w:r>
                </w:p>
              </w:tc>
              <w:tc>
                <w:tcPr>
                  <w:tcW w:w="972" w:type="dxa"/>
                  <w:vMerge w:val="restart"/>
                  <w:vAlign w:val="center"/>
                </w:tcPr>
                <w:p w14:paraId="5FA7D0AF">
                  <w:pPr>
                    <w:pStyle w:val="86"/>
                  </w:pPr>
                  <w:r>
                    <w:t>75/1</w:t>
                  </w:r>
                </w:p>
              </w:tc>
              <w:tc>
                <w:tcPr>
                  <w:tcW w:w="470" w:type="dxa"/>
                  <w:vMerge w:val="restart"/>
                  <w:vAlign w:val="center"/>
                </w:tcPr>
                <w:p w14:paraId="43FDB146">
                  <w:pPr>
                    <w:pStyle w:val="86"/>
                  </w:pPr>
                  <w:r>
                    <w:t>/</w:t>
                  </w:r>
                </w:p>
              </w:tc>
              <w:tc>
                <w:tcPr>
                  <w:tcW w:w="729" w:type="dxa"/>
                  <w:vMerge w:val="restart"/>
                  <w:vAlign w:val="center"/>
                </w:tcPr>
                <w:p w14:paraId="7686B340">
                  <w:pPr>
                    <w:pStyle w:val="86"/>
                  </w:pPr>
                  <w:r>
                    <w:rPr>
                      <w:rFonts w:hint="eastAsia"/>
                    </w:rPr>
                    <w:t>基础减振、厂房隔声</w:t>
                  </w:r>
                </w:p>
              </w:tc>
              <w:tc>
                <w:tcPr>
                  <w:tcW w:w="469" w:type="dxa"/>
                  <w:vMerge w:val="restart"/>
                  <w:vAlign w:val="center"/>
                </w:tcPr>
                <w:p w14:paraId="2897A2E0">
                  <w:pPr>
                    <w:pStyle w:val="86"/>
                  </w:pPr>
                  <w:r>
                    <w:t>70</w:t>
                  </w:r>
                </w:p>
              </w:tc>
              <w:tc>
                <w:tcPr>
                  <w:tcW w:w="469" w:type="dxa"/>
                  <w:vMerge w:val="restart"/>
                  <w:vAlign w:val="center"/>
                </w:tcPr>
                <w:p w14:paraId="5C503255">
                  <w:pPr>
                    <w:pStyle w:val="86"/>
                  </w:pPr>
                  <w:r>
                    <w:t>15</w:t>
                  </w:r>
                </w:p>
              </w:tc>
              <w:tc>
                <w:tcPr>
                  <w:tcW w:w="414" w:type="dxa"/>
                  <w:vMerge w:val="restart"/>
                  <w:vAlign w:val="center"/>
                </w:tcPr>
                <w:p w14:paraId="0BA7C13F">
                  <w:pPr>
                    <w:pStyle w:val="86"/>
                  </w:pPr>
                  <w:r>
                    <w:t>1</w:t>
                  </w:r>
                </w:p>
              </w:tc>
              <w:tc>
                <w:tcPr>
                  <w:tcW w:w="469" w:type="dxa"/>
                  <w:vAlign w:val="center"/>
                </w:tcPr>
                <w:p w14:paraId="3DAD439C">
                  <w:pPr>
                    <w:pStyle w:val="86"/>
                    <w:rPr>
                      <w:kern w:val="2"/>
                    </w:rPr>
                  </w:pPr>
                  <w:r>
                    <w:t>东</w:t>
                  </w:r>
                </w:p>
              </w:tc>
              <w:tc>
                <w:tcPr>
                  <w:tcW w:w="643" w:type="dxa"/>
                  <w:vAlign w:val="center"/>
                </w:tcPr>
                <w:p w14:paraId="3B079A94">
                  <w:pPr>
                    <w:pStyle w:val="86"/>
                  </w:pPr>
                  <w:r>
                    <w:t xml:space="preserve">22.6 </w:t>
                  </w:r>
                </w:p>
              </w:tc>
              <w:tc>
                <w:tcPr>
                  <w:tcW w:w="906" w:type="dxa"/>
                  <w:vAlign w:val="center"/>
                </w:tcPr>
                <w:p w14:paraId="2DC1F09D">
                  <w:pPr>
                    <w:pStyle w:val="86"/>
                  </w:pPr>
                  <w:r>
                    <w:t xml:space="preserve">61.1 </w:t>
                  </w:r>
                </w:p>
              </w:tc>
              <w:tc>
                <w:tcPr>
                  <w:tcW w:w="618" w:type="dxa"/>
                  <w:vMerge w:val="restart"/>
                  <w:vAlign w:val="center"/>
                </w:tcPr>
                <w:p w14:paraId="04389081">
                  <w:pPr>
                    <w:pStyle w:val="86"/>
                  </w:pPr>
                  <w:r>
                    <w:rPr>
                      <w:rFonts w:hint="eastAsia"/>
                    </w:rPr>
                    <w:t>持续运行</w:t>
                  </w:r>
                </w:p>
              </w:tc>
              <w:tc>
                <w:tcPr>
                  <w:tcW w:w="906" w:type="dxa"/>
                  <w:vMerge w:val="restart"/>
                  <w:vAlign w:val="center"/>
                </w:tcPr>
                <w:p w14:paraId="090C53B2">
                  <w:pPr>
                    <w:pStyle w:val="86"/>
                  </w:pPr>
                  <w:r>
                    <w:t>25</w:t>
                  </w:r>
                </w:p>
              </w:tc>
              <w:tc>
                <w:tcPr>
                  <w:tcW w:w="906" w:type="dxa"/>
                  <w:vAlign w:val="center"/>
                </w:tcPr>
                <w:p w14:paraId="38F39B4C">
                  <w:pPr>
                    <w:pStyle w:val="86"/>
                    <w:rPr>
                      <w:kern w:val="2"/>
                    </w:rPr>
                  </w:pPr>
                  <w:r>
                    <w:t xml:space="preserve">36.1 </w:t>
                  </w:r>
                </w:p>
              </w:tc>
              <w:tc>
                <w:tcPr>
                  <w:tcW w:w="527" w:type="dxa"/>
                  <w:vAlign w:val="center"/>
                </w:tcPr>
                <w:p w14:paraId="74997EF5">
                  <w:pPr>
                    <w:pStyle w:val="86"/>
                  </w:pPr>
                  <w:r>
                    <w:t>1</w:t>
                  </w:r>
                </w:p>
              </w:tc>
            </w:tr>
            <w:tr w14:paraId="04A174F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3E5F45FF">
                  <w:pPr>
                    <w:pStyle w:val="86"/>
                    <w:rPr>
                      <w:rFonts w:ascii="Calibri" w:hAnsi="Calibri"/>
                    </w:rPr>
                  </w:pPr>
                </w:p>
              </w:tc>
              <w:tc>
                <w:tcPr>
                  <w:tcW w:w="776" w:type="dxa"/>
                  <w:vMerge w:val="continue"/>
                  <w:vAlign w:val="center"/>
                </w:tcPr>
                <w:p w14:paraId="680D2D16">
                  <w:pPr>
                    <w:pStyle w:val="86"/>
                    <w:rPr>
                      <w:rFonts w:ascii="Calibri" w:hAnsi="Calibri"/>
                    </w:rPr>
                  </w:pPr>
                </w:p>
              </w:tc>
              <w:tc>
                <w:tcPr>
                  <w:tcW w:w="851" w:type="dxa"/>
                  <w:vMerge w:val="continue"/>
                  <w:vAlign w:val="center"/>
                </w:tcPr>
                <w:p w14:paraId="5C87A2F2">
                  <w:pPr>
                    <w:pStyle w:val="86"/>
                    <w:rPr>
                      <w:rFonts w:ascii="Calibri" w:hAnsi="Calibri"/>
                    </w:rPr>
                  </w:pPr>
                </w:p>
              </w:tc>
              <w:tc>
                <w:tcPr>
                  <w:tcW w:w="668" w:type="dxa"/>
                  <w:vMerge w:val="continue"/>
                  <w:vAlign w:val="center"/>
                </w:tcPr>
                <w:p w14:paraId="5A8304B7">
                  <w:pPr>
                    <w:pStyle w:val="86"/>
                    <w:rPr>
                      <w:rFonts w:ascii="Calibri" w:hAnsi="Calibri"/>
                    </w:rPr>
                  </w:pPr>
                </w:p>
              </w:tc>
              <w:tc>
                <w:tcPr>
                  <w:tcW w:w="645" w:type="dxa"/>
                  <w:vMerge w:val="continue"/>
                  <w:vAlign w:val="center"/>
                </w:tcPr>
                <w:p w14:paraId="6F58C269">
                  <w:pPr>
                    <w:pStyle w:val="86"/>
                    <w:rPr>
                      <w:rFonts w:ascii="Calibri" w:hAnsi="Calibri"/>
                    </w:rPr>
                  </w:pPr>
                </w:p>
              </w:tc>
              <w:tc>
                <w:tcPr>
                  <w:tcW w:w="972" w:type="dxa"/>
                  <w:vMerge w:val="continue"/>
                  <w:vAlign w:val="center"/>
                </w:tcPr>
                <w:p w14:paraId="3B271F7F">
                  <w:pPr>
                    <w:pStyle w:val="86"/>
                    <w:rPr>
                      <w:rFonts w:ascii="Calibri" w:hAnsi="Calibri"/>
                    </w:rPr>
                  </w:pPr>
                </w:p>
              </w:tc>
              <w:tc>
                <w:tcPr>
                  <w:tcW w:w="470" w:type="dxa"/>
                  <w:vMerge w:val="continue"/>
                  <w:vAlign w:val="center"/>
                </w:tcPr>
                <w:p w14:paraId="66F00D99">
                  <w:pPr>
                    <w:pStyle w:val="86"/>
                    <w:rPr>
                      <w:rFonts w:ascii="Calibri" w:hAnsi="Calibri"/>
                    </w:rPr>
                  </w:pPr>
                </w:p>
              </w:tc>
              <w:tc>
                <w:tcPr>
                  <w:tcW w:w="729" w:type="dxa"/>
                  <w:vMerge w:val="continue"/>
                  <w:vAlign w:val="center"/>
                </w:tcPr>
                <w:p w14:paraId="224684D8">
                  <w:pPr>
                    <w:pStyle w:val="86"/>
                    <w:rPr>
                      <w:rFonts w:ascii="Calibri" w:hAnsi="Calibri"/>
                    </w:rPr>
                  </w:pPr>
                </w:p>
              </w:tc>
              <w:tc>
                <w:tcPr>
                  <w:tcW w:w="469" w:type="dxa"/>
                  <w:vMerge w:val="continue"/>
                  <w:vAlign w:val="center"/>
                </w:tcPr>
                <w:p w14:paraId="06631948">
                  <w:pPr>
                    <w:pStyle w:val="86"/>
                    <w:rPr>
                      <w:rFonts w:ascii="Calibri" w:hAnsi="Calibri"/>
                    </w:rPr>
                  </w:pPr>
                </w:p>
              </w:tc>
              <w:tc>
                <w:tcPr>
                  <w:tcW w:w="469" w:type="dxa"/>
                  <w:vMerge w:val="continue"/>
                  <w:vAlign w:val="center"/>
                </w:tcPr>
                <w:p w14:paraId="22CD8539">
                  <w:pPr>
                    <w:pStyle w:val="86"/>
                    <w:rPr>
                      <w:rFonts w:ascii="Calibri" w:hAnsi="Calibri"/>
                    </w:rPr>
                  </w:pPr>
                </w:p>
              </w:tc>
              <w:tc>
                <w:tcPr>
                  <w:tcW w:w="414" w:type="dxa"/>
                  <w:vMerge w:val="continue"/>
                  <w:vAlign w:val="center"/>
                </w:tcPr>
                <w:p w14:paraId="417C99AC">
                  <w:pPr>
                    <w:pStyle w:val="86"/>
                    <w:rPr>
                      <w:rFonts w:ascii="Calibri" w:hAnsi="Calibri"/>
                    </w:rPr>
                  </w:pPr>
                </w:p>
              </w:tc>
              <w:tc>
                <w:tcPr>
                  <w:tcW w:w="469" w:type="dxa"/>
                  <w:vAlign w:val="center"/>
                </w:tcPr>
                <w:p w14:paraId="64203DA3">
                  <w:pPr>
                    <w:pStyle w:val="86"/>
                  </w:pPr>
                  <w:r>
                    <w:t>南</w:t>
                  </w:r>
                </w:p>
              </w:tc>
              <w:tc>
                <w:tcPr>
                  <w:tcW w:w="643" w:type="dxa"/>
                  <w:vAlign w:val="center"/>
                </w:tcPr>
                <w:p w14:paraId="43E99478">
                  <w:pPr>
                    <w:pStyle w:val="86"/>
                  </w:pPr>
                  <w:r>
                    <w:t xml:space="preserve">29.8 </w:t>
                  </w:r>
                </w:p>
              </w:tc>
              <w:tc>
                <w:tcPr>
                  <w:tcW w:w="906" w:type="dxa"/>
                  <w:vAlign w:val="center"/>
                </w:tcPr>
                <w:p w14:paraId="72F19BE7">
                  <w:pPr>
                    <w:pStyle w:val="86"/>
                  </w:pPr>
                  <w:r>
                    <w:t xml:space="preserve">60.4 </w:t>
                  </w:r>
                </w:p>
              </w:tc>
              <w:tc>
                <w:tcPr>
                  <w:tcW w:w="618" w:type="dxa"/>
                  <w:vMerge w:val="continue"/>
                  <w:vAlign w:val="center"/>
                </w:tcPr>
                <w:p w14:paraId="39F6E4BB">
                  <w:pPr>
                    <w:pStyle w:val="86"/>
                  </w:pPr>
                </w:p>
              </w:tc>
              <w:tc>
                <w:tcPr>
                  <w:tcW w:w="906" w:type="dxa"/>
                  <w:vMerge w:val="continue"/>
                  <w:vAlign w:val="center"/>
                </w:tcPr>
                <w:p w14:paraId="4FB19E7E">
                  <w:pPr>
                    <w:pStyle w:val="86"/>
                  </w:pPr>
                </w:p>
              </w:tc>
              <w:tc>
                <w:tcPr>
                  <w:tcW w:w="906" w:type="dxa"/>
                  <w:vAlign w:val="center"/>
                </w:tcPr>
                <w:p w14:paraId="6C1A2954">
                  <w:pPr>
                    <w:pStyle w:val="86"/>
                    <w:rPr>
                      <w:kern w:val="2"/>
                    </w:rPr>
                  </w:pPr>
                  <w:r>
                    <w:t xml:space="preserve">35.4 </w:t>
                  </w:r>
                </w:p>
              </w:tc>
              <w:tc>
                <w:tcPr>
                  <w:tcW w:w="527" w:type="dxa"/>
                  <w:vAlign w:val="center"/>
                </w:tcPr>
                <w:p w14:paraId="42B06863">
                  <w:pPr>
                    <w:pStyle w:val="86"/>
                  </w:pPr>
                  <w:r>
                    <w:t>1</w:t>
                  </w:r>
                </w:p>
              </w:tc>
            </w:tr>
            <w:tr w14:paraId="5F2D702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4110B06C">
                  <w:pPr>
                    <w:pStyle w:val="86"/>
                    <w:rPr>
                      <w:rFonts w:ascii="Calibri" w:hAnsi="Calibri"/>
                    </w:rPr>
                  </w:pPr>
                </w:p>
              </w:tc>
              <w:tc>
                <w:tcPr>
                  <w:tcW w:w="776" w:type="dxa"/>
                  <w:vMerge w:val="continue"/>
                  <w:vAlign w:val="center"/>
                </w:tcPr>
                <w:p w14:paraId="384CFBC6">
                  <w:pPr>
                    <w:pStyle w:val="86"/>
                    <w:rPr>
                      <w:rFonts w:ascii="Calibri" w:hAnsi="Calibri"/>
                    </w:rPr>
                  </w:pPr>
                </w:p>
              </w:tc>
              <w:tc>
                <w:tcPr>
                  <w:tcW w:w="851" w:type="dxa"/>
                  <w:vMerge w:val="continue"/>
                  <w:vAlign w:val="center"/>
                </w:tcPr>
                <w:p w14:paraId="7C639AEA">
                  <w:pPr>
                    <w:pStyle w:val="86"/>
                    <w:rPr>
                      <w:rFonts w:ascii="Calibri" w:hAnsi="Calibri"/>
                    </w:rPr>
                  </w:pPr>
                </w:p>
              </w:tc>
              <w:tc>
                <w:tcPr>
                  <w:tcW w:w="668" w:type="dxa"/>
                  <w:vMerge w:val="continue"/>
                  <w:vAlign w:val="center"/>
                </w:tcPr>
                <w:p w14:paraId="143B07DC">
                  <w:pPr>
                    <w:pStyle w:val="86"/>
                    <w:rPr>
                      <w:rFonts w:ascii="Calibri" w:hAnsi="Calibri"/>
                    </w:rPr>
                  </w:pPr>
                </w:p>
              </w:tc>
              <w:tc>
                <w:tcPr>
                  <w:tcW w:w="645" w:type="dxa"/>
                  <w:vMerge w:val="continue"/>
                  <w:vAlign w:val="center"/>
                </w:tcPr>
                <w:p w14:paraId="37A93859">
                  <w:pPr>
                    <w:pStyle w:val="86"/>
                    <w:rPr>
                      <w:rFonts w:ascii="Calibri" w:hAnsi="Calibri"/>
                    </w:rPr>
                  </w:pPr>
                </w:p>
              </w:tc>
              <w:tc>
                <w:tcPr>
                  <w:tcW w:w="972" w:type="dxa"/>
                  <w:vMerge w:val="continue"/>
                  <w:vAlign w:val="center"/>
                </w:tcPr>
                <w:p w14:paraId="71E3755D">
                  <w:pPr>
                    <w:pStyle w:val="86"/>
                    <w:rPr>
                      <w:rFonts w:ascii="Calibri" w:hAnsi="Calibri"/>
                    </w:rPr>
                  </w:pPr>
                </w:p>
              </w:tc>
              <w:tc>
                <w:tcPr>
                  <w:tcW w:w="470" w:type="dxa"/>
                  <w:vMerge w:val="continue"/>
                  <w:vAlign w:val="center"/>
                </w:tcPr>
                <w:p w14:paraId="3E1A521E">
                  <w:pPr>
                    <w:pStyle w:val="86"/>
                    <w:rPr>
                      <w:rFonts w:ascii="Calibri" w:hAnsi="Calibri"/>
                    </w:rPr>
                  </w:pPr>
                </w:p>
              </w:tc>
              <w:tc>
                <w:tcPr>
                  <w:tcW w:w="729" w:type="dxa"/>
                  <w:vMerge w:val="continue"/>
                  <w:vAlign w:val="center"/>
                </w:tcPr>
                <w:p w14:paraId="12CD20F1">
                  <w:pPr>
                    <w:pStyle w:val="86"/>
                    <w:rPr>
                      <w:rFonts w:ascii="Calibri" w:hAnsi="Calibri"/>
                    </w:rPr>
                  </w:pPr>
                </w:p>
              </w:tc>
              <w:tc>
                <w:tcPr>
                  <w:tcW w:w="469" w:type="dxa"/>
                  <w:vMerge w:val="continue"/>
                  <w:vAlign w:val="center"/>
                </w:tcPr>
                <w:p w14:paraId="6275816F">
                  <w:pPr>
                    <w:pStyle w:val="86"/>
                    <w:rPr>
                      <w:rFonts w:ascii="Calibri" w:hAnsi="Calibri"/>
                    </w:rPr>
                  </w:pPr>
                </w:p>
              </w:tc>
              <w:tc>
                <w:tcPr>
                  <w:tcW w:w="469" w:type="dxa"/>
                  <w:vMerge w:val="continue"/>
                  <w:vAlign w:val="center"/>
                </w:tcPr>
                <w:p w14:paraId="50F36EE4">
                  <w:pPr>
                    <w:pStyle w:val="86"/>
                    <w:rPr>
                      <w:rFonts w:ascii="Calibri" w:hAnsi="Calibri"/>
                    </w:rPr>
                  </w:pPr>
                </w:p>
              </w:tc>
              <w:tc>
                <w:tcPr>
                  <w:tcW w:w="414" w:type="dxa"/>
                  <w:vMerge w:val="continue"/>
                  <w:vAlign w:val="center"/>
                </w:tcPr>
                <w:p w14:paraId="25F20C6D">
                  <w:pPr>
                    <w:pStyle w:val="86"/>
                    <w:rPr>
                      <w:rFonts w:ascii="Calibri" w:hAnsi="Calibri"/>
                    </w:rPr>
                  </w:pPr>
                </w:p>
              </w:tc>
              <w:tc>
                <w:tcPr>
                  <w:tcW w:w="469" w:type="dxa"/>
                  <w:vAlign w:val="center"/>
                </w:tcPr>
                <w:p w14:paraId="51D38524">
                  <w:pPr>
                    <w:pStyle w:val="86"/>
                  </w:pPr>
                  <w:r>
                    <w:t>西</w:t>
                  </w:r>
                </w:p>
              </w:tc>
              <w:tc>
                <w:tcPr>
                  <w:tcW w:w="643" w:type="dxa"/>
                  <w:vAlign w:val="center"/>
                </w:tcPr>
                <w:p w14:paraId="3AA7A439">
                  <w:pPr>
                    <w:pStyle w:val="86"/>
                  </w:pPr>
                  <w:r>
                    <w:t xml:space="preserve">69.0 </w:t>
                  </w:r>
                </w:p>
              </w:tc>
              <w:tc>
                <w:tcPr>
                  <w:tcW w:w="906" w:type="dxa"/>
                  <w:vAlign w:val="center"/>
                </w:tcPr>
                <w:p w14:paraId="4C53F8FF">
                  <w:pPr>
                    <w:pStyle w:val="86"/>
                  </w:pPr>
                  <w:r>
                    <w:t xml:space="preserve">60.3 </w:t>
                  </w:r>
                </w:p>
              </w:tc>
              <w:tc>
                <w:tcPr>
                  <w:tcW w:w="618" w:type="dxa"/>
                  <w:vMerge w:val="continue"/>
                  <w:vAlign w:val="center"/>
                </w:tcPr>
                <w:p w14:paraId="4C8423C1">
                  <w:pPr>
                    <w:pStyle w:val="86"/>
                  </w:pPr>
                </w:p>
              </w:tc>
              <w:tc>
                <w:tcPr>
                  <w:tcW w:w="906" w:type="dxa"/>
                  <w:vMerge w:val="continue"/>
                  <w:vAlign w:val="center"/>
                </w:tcPr>
                <w:p w14:paraId="045C8A25">
                  <w:pPr>
                    <w:pStyle w:val="86"/>
                  </w:pPr>
                </w:p>
              </w:tc>
              <w:tc>
                <w:tcPr>
                  <w:tcW w:w="906" w:type="dxa"/>
                  <w:vAlign w:val="center"/>
                </w:tcPr>
                <w:p w14:paraId="6D2C578C">
                  <w:pPr>
                    <w:pStyle w:val="86"/>
                    <w:rPr>
                      <w:kern w:val="2"/>
                    </w:rPr>
                  </w:pPr>
                  <w:r>
                    <w:t xml:space="preserve">35.3 </w:t>
                  </w:r>
                </w:p>
              </w:tc>
              <w:tc>
                <w:tcPr>
                  <w:tcW w:w="527" w:type="dxa"/>
                  <w:vAlign w:val="center"/>
                </w:tcPr>
                <w:p w14:paraId="59279935">
                  <w:pPr>
                    <w:pStyle w:val="86"/>
                  </w:pPr>
                  <w:r>
                    <w:t>1</w:t>
                  </w:r>
                </w:p>
              </w:tc>
            </w:tr>
            <w:tr w14:paraId="48DC769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6D336EB6">
                  <w:pPr>
                    <w:pStyle w:val="86"/>
                    <w:rPr>
                      <w:rFonts w:ascii="Calibri" w:hAnsi="Calibri"/>
                    </w:rPr>
                  </w:pPr>
                </w:p>
              </w:tc>
              <w:tc>
                <w:tcPr>
                  <w:tcW w:w="776" w:type="dxa"/>
                  <w:vMerge w:val="continue"/>
                  <w:vAlign w:val="center"/>
                </w:tcPr>
                <w:p w14:paraId="692B3C51">
                  <w:pPr>
                    <w:pStyle w:val="86"/>
                    <w:rPr>
                      <w:rFonts w:ascii="Calibri" w:hAnsi="Calibri"/>
                    </w:rPr>
                  </w:pPr>
                </w:p>
              </w:tc>
              <w:tc>
                <w:tcPr>
                  <w:tcW w:w="851" w:type="dxa"/>
                  <w:vMerge w:val="continue"/>
                  <w:vAlign w:val="center"/>
                </w:tcPr>
                <w:p w14:paraId="3AB5E789">
                  <w:pPr>
                    <w:pStyle w:val="86"/>
                    <w:rPr>
                      <w:rFonts w:ascii="Calibri" w:hAnsi="Calibri"/>
                    </w:rPr>
                  </w:pPr>
                </w:p>
              </w:tc>
              <w:tc>
                <w:tcPr>
                  <w:tcW w:w="668" w:type="dxa"/>
                  <w:vMerge w:val="continue"/>
                  <w:vAlign w:val="center"/>
                </w:tcPr>
                <w:p w14:paraId="6F805320">
                  <w:pPr>
                    <w:pStyle w:val="86"/>
                    <w:rPr>
                      <w:rFonts w:ascii="Calibri" w:hAnsi="Calibri"/>
                    </w:rPr>
                  </w:pPr>
                </w:p>
              </w:tc>
              <w:tc>
                <w:tcPr>
                  <w:tcW w:w="645" w:type="dxa"/>
                  <w:vMerge w:val="continue"/>
                  <w:vAlign w:val="center"/>
                </w:tcPr>
                <w:p w14:paraId="2901E318">
                  <w:pPr>
                    <w:pStyle w:val="86"/>
                    <w:rPr>
                      <w:rFonts w:ascii="Calibri" w:hAnsi="Calibri"/>
                    </w:rPr>
                  </w:pPr>
                </w:p>
              </w:tc>
              <w:tc>
                <w:tcPr>
                  <w:tcW w:w="972" w:type="dxa"/>
                  <w:vMerge w:val="continue"/>
                  <w:vAlign w:val="center"/>
                </w:tcPr>
                <w:p w14:paraId="4871DBEC">
                  <w:pPr>
                    <w:pStyle w:val="86"/>
                    <w:rPr>
                      <w:rFonts w:ascii="Calibri" w:hAnsi="Calibri"/>
                    </w:rPr>
                  </w:pPr>
                </w:p>
              </w:tc>
              <w:tc>
                <w:tcPr>
                  <w:tcW w:w="470" w:type="dxa"/>
                  <w:vMerge w:val="continue"/>
                  <w:vAlign w:val="center"/>
                </w:tcPr>
                <w:p w14:paraId="530EBC28">
                  <w:pPr>
                    <w:pStyle w:val="86"/>
                    <w:rPr>
                      <w:rFonts w:ascii="Calibri" w:hAnsi="Calibri"/>
                    </w:rPr>
                  </w:pPr>
                </w:p>
              </w:tc>
              <w:tc>
                <w:tcPr>
                  <w:tcW w:w="729" w:type="dxa"/>
                  <w:vMerge w:val="continue"/>
                  <w:vAlign w:val="center"/>
                </w:tcPr>
                <w:p w14:paraId="7755390C">
                  <w:pPr>
                    <w:pStyle w:val="86"/>
                    <w:rPr>
                      <w:rFonts w:ascii="Calibri" w:hAnsi="Calibri"/>
                    </w:rPr>
                  </w:pPr>
                </w:p>
              </w:tc>
              <w:tc>
                <w:tcPr>
                  <w:tcW w:w="469" w:type="dxa"/>
                  <w:vMerge w:val="continue"/>
                  <w:vAlign w:val="center"/>
                </w:tcPr>
                <w:p w14:paraId="1B7A7E7E">
                  <w:pPr>
                    <w:pStyle w:val="86"/>
                    <w:rPr>
                      <w:rFonts w:ascii="Calibri" w:hAnsi="Calibri"/>
                    </w:rPr>
                  </w:pPr>
                </w:p>
              </w:tc>
              <w:tc>
                <w:tcPr>
                  <w:tcW w:w="469" w:type="dxa"/>
                  <w:vMerge w:val="continue"/>
                  <w:vAlign w:val="center"/>
                </w:tcPr>
                <w:p w14:paraId="45536870">
                  <w:pPr>
                    <w:pStyle w:val="86"/>
                    <w:rPr>
                      <w:rFonts w:ascii="Calibri" w:hAnsi="Calibri"/>
                    </w:rPr>
                  </w:pPr>
                </w:p>
              </w:tc>
              <w:tc>
                <w:tcPr>
                  <w:tcW w:w="414" w:type="dxa"/>
                  <w:vMerge w:val="continue"/>
                  <w:vAlign w:val="center"/>
                </w:tcPr>
                <w:p w14:paraId="2BDA6129">
                  <w:pPr>
                    <w:pStyle w:val="86"/>
                    <w:rPr>
                      <w:rFonts w:ascii="Calibri" w:hAnsi="Calibri"/>
                    </w:rPr>
                  </w:pPr>
                </w:p>
              </w:tc>
              <w:tc>
                <w:tcPr>
                  <w:tcW w:w="469" w:type="dxa"/>
                  <w:vAlign w:val="center"/>
                </w:tcPr>
                <w:p w14:paraId="73CE3EE1">
                  <w:pPr>
                    <w:pStyle w:val="86"/>
                  </w:pPr>
                  <w:r>
                    <w:t>北</w:t>
                  </w:r>
                </w:p>
              </w:tc>
              <w:tc>
                <w:tcPr>
                  <w:tcW w:w="643" w:type="dxa"/>
                  <w:vAlign w:val="center"/>
                </w:tcPr>
                <w:p w14:paraId="4A4F2789">
                  <w:pPr>
                    <w:pStyle w:val="86"/>
                  </w:pPr>
                  <w:r>
                    <w:t xml:space="preserve">26.2 </w:t>
                  </w:r>
                </w:p>
              </w:tc>
              <w:tc>
                <w:tcPr>
                  <w:tcW w:w="906" w:type="dxa"/>
                  <w:vAlign w:val="center"/>
                </w:tcPr>
                <w:p w14:paraId="59AC9EE4">
                  <w:pPr>
                    <w:pStyle w:val="86"/>
                  </w:pPr>
                  <w:r>
                    <w:t xml:space="preserve">60.9 </w:t>
                  </w:r>
                </w:p>
              </w:tc>
              <w:tc>
                <w:tcPr>
                  <w:tcW w:w="618" w:type="dxa"/>
                  <w:vMerge w:val="continue"/>
                  <w:vAlign w:val="center"/>
                </w:tcPr>
                <w:p w14:paraId="4E586ECA">
                  <w:pPr>
                    <w:pStyle w:val="86"/>
                  </w:pPr>
                </w:p>
              </w:tc>
              <w:tc>
                <w:tcPr>
                  <w:tcW w:w="906" w:type="dxa"/>
                  <w:vMerge w:val="continue"/>
                  <w:vAlign w:val="center"/>
                </w:tcPr>
                <w:p w14:paraId="319F0CAE">
                  <w:pPr>
                    <w:pStyle w:val="86"/>
                  </w:pPr>
                </w:p>
              </w:tc>
              <w:tc>
                <w:tcPr>
                  <w:tcW w:w="906" w:type="dxa"/>
                  <w:vAlign w:val="center"/>
                </w:tcPr>
                <w:p w14:paraId="3DB64C1F">
                  <w:pPr>
                    <w:pStyle w:val="86"/>
                    <w:rPr>
                      <w:kern w:val="2"/>
                    </w:rPr>
                  </w:pPr>
                  <w:r>
                    <w:t xml:space="preserve">35.9 </w:t>
                  </w:r>
                </w:p>
              </w:tc>
              <w:tc>
                <w:tcPr>
                  <w:tcW w:w="527" w:type="dxa"/>
                  <w:vAlign w:val="center"/>
                </w:tcPr>
                <w:p w14:paraId="15932418">
                  <w:pPr>
                    <w:pStyle w:val="86"/>
                  </w:pPr>
                  <w:r>
                    <w:t>1</w:t>
                  </w:r>
                </w:p>
              </w:tc>
            </w:tr>
            <w:tr w14:paraId="723C665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4CBEA92B">
                  <w:pPr>
                    <w:pStyle w:val="86"/>
                  </w:pPr>
                  <w:r>
                    <w:t>8</w:t>
                  </w:r>
                </w:p>
              </w:tc>
              <w:tc>
                <w:tcPr>
                  <w:tcW w:w="776" w:type="dxa"/>
                  <w:vMerge w:val="restart"/>
                  <w:vAlign w:val="center"/>
                </w:tcPr>
                <w:p w14:paraId="496CAB71">
                  <w:pPr>
                    <w:pStyle w:val="86"/>
                  </w:pPr>
                  <w:r>
                    <w:rPr>
                      <w:rFonts w:hint="eastAsia"/>
                    </w:rPr>
                    <w:t>生产车间</w:t>
                  </w:r>
                </w:p>
              </w:tc>
              <w:tc>
                <w:tcPr>
                  <w:tcW w:w="851" w:type="dxa"/>
                  <w:vMerge w:val="restart"/>
                  <w:vAlign w:val="center"/>
                </w:tcPr>
                <w:p w14:paraId="68F9D934">
                  <w:pPr>
                    <w:pStyle w:val="86"/>
                  </w:pPr>
                  <w:r>
                    <w:rPr>
                      <w:rFonts w:hint="eastAsia"/>
                    </w:rPr>
                    <w:t>切粒机</w:t>
                  </w:r>
                </w:p>
              </w:tc>
              <w:tc>
                <w:tcPr>
                  <w:tcW w:w="668" w:type="dxa"/>
                  <w:vMerge w:val="restart"/>
                  <w:vAlign w:val="center"/>
                </w:tcPr>
                <w:p w14:paraId="540E80D9">
                  <w:pPr>
                    <w:pStyle w:val="86"/>
                  </w:pPr>
                  <w:r>
                    <w:t>/</w:t>
                  </w:r>
                </w:p>
              </w:tc>
              <w:tc>
                <w:tcPr>
                  <w:tcW w:w="645" w:type="dxa"/>
                  <w:vMerge w:val="restart"/>
                  <w:vAlign w:val="center"/>
                </w:tcPr>
                <w:p w14:paraId="4B71E052">
                  <w:pPr>
                    <w:pStyle w:val="86"/>
                  </w:pPr>
                  <w:r>
                    <w:t xml:space="preserve">2 </w:t>
                  </w:r>
                </w:p>
              </w:tc>
              <w:tc>
                <w:tcPr>
                  <w:tcW w:w="972" w:type="dxa"/>
                  <w:vMerge w:val="restart"/>
                  <w:vAlign w:val="center"/>
                </w:tcPr>
                <w:p w14:paraId="6AB77B4F">
                  <w:pPr>
                    <w:pStyle w:val="86"/>
                  </w:pPr>
                  <w:r>
                    <w:t>80/1</w:t>
                  </w:r>
                </w:p>
              </w:tc>
              <w:tc>
                <w:tcPr>
                  <w:tcW w:w="470" w:type="dxa"/>
                  <w:vMerge w:val="restart"/>
                  <w:vAlign w:val="center"/>
                </w:tcPr>
                <w:p w14:paraId="1C027785">
                  <w:pPr>
                    <w:pStyle w:val="86"/>
                  </w:pPr>
                  <w:r>
                    <w:t>/</w:t>
                  </w:r>
                </w:p>
              </w:tc>
              <w:tc>
                <w:tcPr>
                  <w:tcW w:w="729" w:type="dxa"/>
                  <w:vMerge w:val="restart"/>
                  <w:vAlign w:val="center"/>
                </w:tcPr>
                <w:p w14:paraId="25AFD96C">
                  <w:pPr>
                    <w:pStyle w:val="86"/>
                  </w:pPr>
                  <w:r>
                    <w:rPr>
                      <w:rFonts w:hint="eastAsia"/>
                    </w:rPr>
                    <w:t>基础减振、厂房隔声</w:t>
                  </w:r>
                </w:p>
              </w:tc>
              <w:tc>
                <w:tcPr>
                  <w:tcW w:w="469" w:type="dxa"/>
                  <w:vMerge w:val="restart"/>
                  <w:vAlign w:val="center"/>
                </w:tcPr>
                <w:p w14:paraId="6634CF3C">
                  <w:pPr>
                    <w:pStyle w:val="86"/>
                  </w:pPr>
                  <w:r>
                    <w:t>69</w:t>
                  </w:r>
                </w:p>
              </w:tc>
              <w:tc>
                <w:tcPr>
                  <w:tcW w:w="469" w:type="dxa"/>
                  <w:vMerge w:val="restart"/>
                  <w:vAlign w:val="center"/>
                </w:tcPr>
                <w:p w14:paraId="12FF2A2F">
                  <w:pPr>
                    <w:pStyle w:val="86"/>
                  </w:pPr>
                  <w:r>
                    <w:t>12</w:t>
                  </w:r>
                </w:p>
              </w:tc>
              <w:tc>
                <w:tcPr>
                  <w:tcW w:w="414" w:type="dxa"/>
                  <w:vMerge w:val="restart"/>
                  <w:vAlign w:val="center"/>
                </w:tcPr>
                <w:p w14:paraId="62020A70">
                  <w:pPr>
                    <w:pStyle w:val="86"/>
                  </w:pPr>
                  <w:r>
                    <w:t>1</w:t>
                  </w:r>
                </w:p>
              </w:tc>
              <w:tc>
                <w:tcPr>
                  <w:tcW w:w="469" w:type="dxa"/>
                  <w:vAlign w:val="center"/>
                </w:tcPr>
                <w:p w14:paraId="035761D4">
                  <w:pPr>
                    <w:pStyle w:val="86"/>
                    <w:rPr>
                      <w:kern w:val="2"/>
                    </w:rPr>
                  </w:pPr>
                  <w:r>
                    <w:t>东</w:t>
                  </w:r>
                </w:p>
              </w:tc>
              <w:tc>
                <w:tcPr>
                  <w:tcW w:w="643" w:type="dxa"/>
                  <w:vAlign w:val="center"/>
                </w:tcPr>
                <w:p w14:paraId="4A50AE26">
                  <w:pPr>
                    <w:pStyle w:val="86"/>
                  </w:pPr>
                  <w:r>
                    <w:t xml:space="preserve">23.2 </w:t>
                  </w:r>
                </w:p>
              </w:tc>
              <w:tc>
                <w:tcPr>
                  <w:tcW w:w="906" w:type="dxa"/>
                  <w:vAlign w:val="center"/>
                </w:tcPr>
                <w:p w14:paraId="1435C11F">
                  <w:pPr>
                    <w:pStyle w:val="86"/>
                  </w:pPr>
                  <w:r>
                    <w:t xml:space="preserve">66.1 </w:t>
                  </w:r>
                </w:p>
              </w:tc>
              <w:tc>
                <w:tcPr>
                  <w:tcW w:w="618" w:type="dxa"/>
                  <w:vMerge w:val="restart"/>
                  <w:vAlign w:val="center"/>
                </w:tcPr>
                <w:p w14:paraId="6D3E8984">
                  <w:pPr>
                    <w:pStyle w:val="86"/>
                  </w:pPr>
                  <w:r>
                    <w:rPr>
                      <w:rFonts w:hint="eastAsia"/>
                    </w:rPr>
                    <w:t>持续运行</w:t>
                  </w:r>
                </w:p>
              </w:tc>
              <w:tc>
                <w:tcPr>
                  <w:tcW w:w="906" w:type="dxa"/>
                  <w:vMerge w:val="restart"/>
                  <w:vAlign w:val="center"/>
                </w:tcPr>
                <w:p w14:paraId="132E8331">
                  <w:pPr>
                    <w:pStyle w:val="86"/>
                  </w:pPr>
                  <w:r>
                    <w:t>25</w:t>
                  </w:r>
                </w:p>
              </w:tc>
              <w:tc>
                <w:tcPr>
                  <w:tcW w:w="906" w:type="dxa"/>
                  <w:vAlign w:val="center"/>
                </w:tcPr>
                <w:p w14:paraId="7A6BBA8D">
                  <w:pPr>
                    <w:pStyle w:val="86"/>
                    <w:rPr>
                      <w:kern w:val="2"/>
                    </w:rPr>
                  </w:pPr>
                  <w:r>
                    <w:t xml:space="preserve">41.1 </w:t>
                  </w:r>
                </w:p>
              </w:tc>
              <w:tc>
                <w:tcPr>
                  <w:tcW w:w="527" w:type="dxa"/>
                  <w:vAlign w:val="center"/>
                </w:tcPr>
                <w:p w14:paraId="11E0A591">
                  <w:pPr>
                    <w:pStyle w:val="86"/>
                  </w:pPr>
                  <w:r>
                    <w:t>1</w:t>
                  </w:r>
                </w:p>
              </w:tc>
            </w:tr>
            <w:tr w14:paraId="43C80D8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122F206D">
                  <w:pPr>
                    <w:pStyle w:val="86"/>
                    <w:rPr>
                      <w:rFonts w:ascii="Calibri" w:hAnsi="Calibri"/>
                    </w:rPr>
                  </w:pPr>
                </w:p>
              </w:tc>
              <w:tc>
                <w:tcPr>
                  <w:tcW w:w="776" w:type="dxa"/>
                  <w:vMerge w:val="continue"/>
                  <w:vAlign w:val="center"/>
                </w:tcPr>
                <w:p w14:paraId="34FBC326">
                  <w:pPr>
                    <w:pStyle w:val="86"/>
                    <w:rPr>
                      <w:rFonts w:ascii="Calibri" w:hAnsi="Calibri"/>
                    </w:rPr>
                  </w:pPr>
                </w:p>
              </w:tc>
              <w:tc>
                <w:tcPr>
                  <w:tcW w:w="851" w:type="dxa"/>
                  <w:vMerge w:val="continue"/>
                  <w:vAlign w:val="center"/>
                </w:tcPr>
                <w:p w14:paraId="397A6292">
                  <w:pPr>
                    <w:pStyle w:val="86"/>
                    <w:rPr>
                      <w:rFonts w:ascii="Calibri" w:hAnsi="Calibri"/>
                    </w:rPr>
                  </w:pPr>
                </w:p>
              </w:tc>
              <w:tc>
                <w:tcPr>
                  <w:tcW w:w="668" w:type="dxa"/>
                  <w:vMerge w:val="continue"/>
                  <w:vAlign w:val="center"/>
                </w:tcPr>
                <w:p w14:paraId="272445BF">
                  <w:pPr>
                    <w:pStyle w:val="86"/>
                    <w:rPr>
                      <w:rFonts w:ascii="Calibri" w:hAnsi="Calibri"/>
                    </w:rPr>
                  </w:pPr>
                </w:p>
              </w:tc>
              <w:tc>
                <w:tcPr>
                  <w:tcW w:w="645" w:type="dxa"/>
                  <w:vMerge w:val="continue"/>
                  <w:vAlign w:val="center"/>
                </w:tcPr>
                <w:p w14:paraId="35946789">
                  <w:pPr>
                    <w:pStyle w:val="86"/>
                    <w:rPr>
                      <w:rFonts w:ascii="Calibri" w:hAnsi="Calibri"/>
                    </w:rPr>
                  </w:pPr>
                </w:p>
              </w:tc>
              <w:tc>
                <w:tcPr>
                  <w:tcW w:w="972" w:type="dxa"/>
                  <w:vMerge w:val="continue"/>
                  <w:vAlign w:val="center"/>
                </w:tcPr>
                <w:p w14:paraId="1954C09F">
                  <w:pPr>
                    <w:pStyle w:val="86"/>
                    <w:rPr>
                      <w:rFonts w:ascii="Calibri" w:hAnsi="Calibri"/>
                    </w:rPr>
                  </w:pPr>
                </w:p>
              </w:tc>
              <w:tc>
                <w:tcPr>
                  <w:tcW w:w="470" w:type="dxa"/>
                  <w:vMerge w:val="continue"/>
                  <w:vAlign w:val="center"/>
                </w:tcPr>
                <w:p w14:paraId="636E6309">
                  <w:pPr>
                    <w:pStyle w:val="86"/>
                    <w:rPr>
                      <w:rFonts w:ascii="Calibri" w:hAnsi="Calibri"/>
                    </w:rPr>
                  </w:pPr>
                </w:p>
              </w:tc>
              <w:tc>
                <w:tcPr>
                  <w:tcW w:w="729" w:type="dxa"/>
                  <w:vMerge w:val="continue"/>
                  <w:vAlign w:val="center"/>
                </w:tcPr>
                <w:p w14:paraId="1CDA30DB">
                  <w:pPr>
                    <w:pStyle w:val="86"/>
                    <w:rPr>
                      <w:rFonts w:ascii="Calibri" w:hAnsi="Calibri"/>
                    </w:rPr>
                  </w:pPr>
                </w:p>
              </w:tc>
              <w:tc>
                <w:tcPr>
                  <w:tcW w:w="469" w:type="dxa"/>
                  <w:vMerge w:val="continue"/>
                  <w:vAlign w:val="center"/>
                </w:tcPr>
                <w:p w14:paraId="7990FA34">
                  <w:pPr>
                    <w:pStyle w:val="86"/>
                    <w:rPr>
                      <w:rFonts w:ascii="Calibri" w:hAnsi="Calibri"/>
                    </w:rPr>
                  </w:pPr>
                </w:p>
              </w:tc>
              <w:tc>
                <w:tcPr>
                  <w:tcW w:w="469" w:type="dxa"/>
                  <w:vMerge w:val="continue"/>
                  <w:vAlign w:val="center"/>
                </w:tcPr>
                <w:p w14:paraId="49DB8305">
                  <w:pPr>
                    <w:pStyle w:val="86"/>
                    <w:rPr>
                      <w:rFonts w:ascii="Calibri" w:hAnsi="Calibri"/>
                    </w:rPr>
                  </w:pPr>
                </w:p>
              </w:tc>
              <w:tc>
                <w:tcPr>
                  <w:tcW w:w="414" w:type="dxa"/>
                  <w:vMerge w:val="continue"/>
                  <w:vAlign w:val="center"/>
                </w:tcPr>
                <w:p w14:paraId="053E207A">
                  <w:pPr>
                    <w:pStyle w:val="86"/>
                    <w:rPr>
                      <w:rFonts w:ascii="Calibri" w:hAnsi="Calibri"/>
                    </w:rPr>
                  </w:pPr>
                </w:p>
              </w:tc>
              <w:tc>
                <w:tcPr>
                  <w:tcW w:w="469" w:type="dxa"/>
                  <w:vAlign w:val="center"/>
                </w:tcPr>
                <w:p w14:paraId="3B708AA3">
                  <w:pPr>
                    <w:pStyle w:val="86"/>
                  </w:pPr>
                  <w:r>
                    <w:t>南</w:t>
                  </w:r>
                </w:p>
              </w:tc>
              <w:tc>
                <w:tcPr>
                  <w:tcW w:w="643" w:type="dxa"/>
                  <w:vAlign w:val="center"/>
                </w:tcPr>
                <w:p w14:paraId="67837065">
                  <w:pPr>
                    <w:pStyle w:val="86"/>
                  </w:pPr>
                  <w:r>
                    <w:t xml:space="preserve">27.3 </w:t>
                  </w:r>
                </w:p>
              </w:tc>
              <w:tc>
                <w:tcPr>
                  <w:tcW w:w="906" w:type="dxa"/>
                  <w:vAlign w:val="center"/>
                </w:tcPr>
                <w:p w14:paraId="387BC316">
                  <w:pPr>
                    <w:pStyle w:val="86"/>
                  </w:pPr>
                  <w:r>
                    <w:t xml:space="preserve">65.5 </w:t>
                  </w:r>
                </w:p>
              </w:tc>
              <w:tc>
                <w:tcPr>
                  <w:tcW w:w="618" w:type="dxa"/>
                  <w:vMerge w:val="continue"/>
                  <w:vAlign w:val="center"/>
                </w:tcPr>
                <w:p w14:paraId="7EF7E826">
                  <w:pPr>
                    <w:pStyle w:val="86"/>
                  </w:pPr>
                </w:p>
              </w:tc>
              <w:tc>
                <w:tcPr>
                  <w:tcW w:w="906" w:type="dxa"/>
                  <w:vMerge w:val="continue"/>
                  <w:vAlign w:val="center"/>
                </w:tcPr>
                <w:p w14:paraId="0791ECC0">
                  <w:pPr>
                    <w:pStyle w:val="86"/>
                  </w:pPr>
                </w:p>
              </w:tc>
              <w:tc>
                <w:tcPr>
                  <w:tcW w:w="906" w:type="dxa"/>
                  <w:vAlign w:val="center"/>
                </w:tcPr>
                <w:p w14:paraId="04342771">
                  <w:pPr>
                    <w:pStyle w:val="86"/>
                    <w:rPr>
                      <w:kern w:val="2"/>
                    </w:rPr>
                  </w:pPr>
                  <w:r>
                    <w:t xml:space="preserve">40.5 </w:t>
                  </w:r>
                </w:p>
              </w:tc>
              <w:tc>
                <w:tcPr>
                  <w:tcW w:w="527" w:type="dxa"/>
                  <w:vAlign w:val="center"/>
                </w:tcPr>
                <w:p w14:paraId="5FD9DB89">
                  <w:pPr>
                    <w:pStyle w:val="86"/>
                  </w:pPr>
                  <w:r>
                    <w:t>1</w:t>
                  </w:r>
                </w:p>
              </w:tc>
            </w:tr>
            <w:tr w14:paraId="47E7D72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6CBBF06C">
                  <w:pPr>
                    <w:pStyle w:val="86"/>
                    <w:rPr>
                      <w:rFonts w:ascii="Calibri" w:hAnsi="Calibri"/>
                    </w:rPr>
                  </w:pPr>
                </w:p>
              </w:tc>
              <w:tc>
                <w:tcPr>
                  <w:tcW w:w="776" w:type="dxa"/>
                  <w:vMerge w:val="continue"/>
                  <w:vAlign w:val="center"/>
                </w:tcPr>
                <w:p w14:paraId="01034D29">
                  <w:pPr>
                    <w:pStyle w:val="86"/>
                    <w:rPr>
                      <w:rFonts w:ascii="Calibri" w:hAnsi="Calibri"/>
                    </w:rPr>
                  </w:pPr>
                </w:p>
              </w:tc>
              <w:tc>
                <w:tcPr>
                  <w:tcW w:w="851" w:type="dxa"/>
                  <w:vMerge w:val="continue"/>
                  <w:vAlign w:val="center"/>
                </w:tcPr>
                <w:p w14:paraId="76B3BCFD">
                  <w:pPr>
                    <w:pStyle w:val="86"/>
                    <w:rPr>
                      <w:rFonts w:ascii="Calibri" w:hAnsi="Calibri"/>
                    </w:rPr>
                  </w:pPr>
                </w:p>
              </w:tc>
              <w:tc>
                <w:tcPr>
                  <w:tcW w:w="668" w:type="dxa"/>
                  <w:vMerge w:val="continue"/>
                  <w:vAlign w:val="center"/>
                </w:tcPr>
                <w:p w14:paraId="68661E5C">
                  <w:pPr>
                    <w:pStyle w:val="86"/>
                    <w:rPr>
                      <w:rFonts w:ascii="Calibri" w:hAnsi="Calibri"/>
                    </w:rPr>
                  </w:pPr>
                </w:p>
              </w:tc>
              <w:tc>
                <w:tcPr>
                  <w:tcW w:w="645" w:type="dxa"/>
                  <w:vMerge w:val="continue"/>
                  <w:vAlign w:val="center"/>
                </w:tcPr>
                <w:p w14:paraId="30A79CBE">
                  <w:pPr>
                    <w:pStyle w:val="86"/>
                    <w:rPr>
                      <w:rFonts w:ascii="Calibri" w:hAnsi="Calibri"/>
                    </w:rPr>
                  </w:pPr>
                </w:p>
              </w:tc>
              <w:tc>
                <w:tcPr>
                  <w:tcW w:w="972" w:type="dxa"/>
                  <w:vMerge w:val="continue"/>
                  <w:vAlign w:val="center"/>
                </w:tcPr>
                <w:p w14:paraId="2934FF64">
                  <w:pPr>
                    <w:pStyle w:val="86"/>
                    <w:rPr>
                      <w:rFonts w:ascii="Calibri" w:hAnsi="Calibri"/>
                    </w:rPr>
                  </w:pPr>
                </w:p>
              </w:tc>
              <w:tc>
                <w:tcPr>
                  <w:tcW w:w="470" w:type="dxa"/>
                  <w:vMerge w:val="continue"/>
                  <w:vAlign w:val="center"/>
                </w:tcPr>
                <w:p w14:paraId="7136550D">
                  <w:pPr>
                    <w:pStyle w:val="86"/>
                    <w:rPr>
                      <w:rFonts w:ascii="Calibri" w:hAnsi="Calibri"/>
                    </w:rPr>
                  </w:pPr>
                </w:p>
              </w:tc>
              <w:tc>
                <w:tcPr>
                  <w:tcW w:w="729" w:type="dxa"/>
                  <w:vMerge w:val="continue"/>
                  <w:vAlign w:val="center"/>
                </w:tcPr>
                <w:p w14:paraId="4C69B6A1">
                  <w:pPr>
                    <w:pStyle w:val="86"/>
                    <w:rPr>
                      <w:rFonts w:ascii="Calibri" w:hAnsi="Calibri"/>
                    </w:rPr>
                  </w:pPr>
                </w:p>
              </w:tc>
              <w:tc>
                <w:tcPr>
                  <w:tcW w:w="469" w:type="dxa"/>
                  <w:vMerge w:val="continue"/>
                  <w:vAlign w:val="center"/>
                </w:tcPr>
                <w:p w14:paraId="0E900F57">
                  <w:pPr>
                    <w:pStyle w:val="86"/>
                    <w:rPr>
                      <w:rFonts w:ascii="Calibri" w:hAnsi="Calibri"/>
                    </w:rPr>
                  </w:pPr>
                </w:p>
              </w:tc>
              <w:tc>
                <w:tcPr>
                  <w:tcW w:w="469" w:type="dxa"/>
                  <w:vMerge w:val="continue"/>
                  <w:vAlign w:val="center"/>
                </w:tcPr>
                <w:p w14:paraId="47A92FB5">
                  <w:pPr>
                    <w:pStyle w:val="86"/>
                    <w:rPr>
                      <w:rFonts w:ascii="Calibri" w:hAnsi="Calibri"/>
                    </w:rPr>
                  </w:pPr>
                </w:p>
              </w:tc>
              <w:tc>
                <w:tcPr>
                  <w:tcW w:w="414" w:type="dxa"/>
                  <w:vMerge w:val="continue"/>
                  <w:vAlign w:val="center"/>
                </w:tcPr>
                <w:p w14:paraId="409807F3">
                  <w:pPr>
                    <w:pStyle w:val="86"/>
                    <w:rPr>
                      <w:rFonts w:ascii="Calibri" w:hAnsi="Calibri"/>
                    </w:rPr>
                  </w:pPr>
                </w:p>
              </w:tc>
              <w:tc>
                <w:tcPr>
                  <w:tcW w:w="469" w:type="dxa"/>
                  <w:vAlign w:val="center"/>
                </w:tcPr>
                <w:p w14:paraId="2375BCE9">
                  <w:pPr>
                    <w:pStyle w:val="86"/>
                  </w:pPr>
                  <w:r>
                    <w:t>西</w:t>
                  </w:r>
                </w:p>
              </w:tc>
              <w:tc>
                <w:tcPr>
                  <w:tcW w:w="643" w:type="dxa"/>
                  <w:vAlign w:val="center"/>
                </w:tcPr>
                <w:p w14:paraId="76DD02FE">
                  <w:pPr>
                    <w:pStyle w:val="86"/>
                  </w:pPr>
                  <w:r>
                    <w:t xml:space="preserve">68.1 </w:t>
                  </w:r>
                </w:p>
              </w:tc>
              <w:tc>
                <w:tcPr>
                  <w:tcW w:w="906" w:type="dxa"/>
                  <w:vAlign w:val="center"/>
                </w:tcPr>
                <w:p w14:paraId="17C8CE00">
                  <w:pPr>
                    <w:pStyle w:val="86"/>
                  </w:pPr>
                  <w:r>
                    <w:t xml:space="preserve">65.3 </w:t>
                  </w:r>
                </w:p>
              </w:tc>
              <w:tc>
                <w:tcPr>
                  <w:tcW w:w="618" w:type="dxa"/>
                  <w:vMerge w:val="continue"/>
                  <w:vAlign w:val="center"/>
                </w:tcPr>
                <w:p w14:paraId="0D939611">
                  <w:pPr>
                    <w:pStyle w:val="86"/>
                  </w:pPr>
                </w:p>
              </w:tc>
              <w:tc>
                <w:tcPr>
                  <w:tcW w:w="906" w:type="dxa"/>
                  <w:vMerge w:val="continue"/>
                  <w:vAlign w:val="center"/>
                </w:tcPr>
                <w:p w14:paraId="71F0C943">
                  <w:pPr>
                    <w:pStyle w:val="86"/>
                  </w:pPr>
                </w:p>
              </w:tc>
              <w:tc>
                <w:tcPr>
                  <w:tcW w:w="906" w:type="dxa"/>
                  <w:vAlign w:val="center"/>
                </w:tcPr>
                <w:p w14:paraId="3D660D4B">
                  <w:pPr>
                    <w:pStyle w:val="86"/>
                    <w:rPr>
                      <w:kern w:val="2"/>
                    </w:rPr>
                  </w:pPr>
                  <w:r>
                    <w:t xml:space="preserve">40.3 </w:t>
                  </w:r>
                </w:p>
              </w:tc>
              <w:tc>
                <w:tcPr>
                  <w:tcW w:w="527" w:type="dxa"/>
                  <w:vAlign w:val="center"/>
                </w:tcPr>
                <w:p w14:paraId="0F18DD20">
                  <w:pPr>
                    <w:pStyle w:val="86"/>
                  </w:pPr>
                  <w:r>
                    <w:t>1</w:t>
                  </w:r>
                </w:p>
              </w:tc>
            </w:tr>
            <w:tr w14:paraId="1755AB3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24362520">
                  <w:pPr>
                    <w:pStyle w:val="86"/>
                    <w:rPr>
                      <w:rFonts w:ascii="Calibri" w:hAnsi="Calibri"/>
                    </w:rPr>
                  </w:pPr>
                </w:p>
              </w:tc>
              <w:tc>
                <w:tcPr>
                  <w:tcW w:w="776" w:type="dxa"/>
                  <w:vMerge w:val="continue"/>
                  <w:vAlign w:val="center"/>
                </w:tcPr>
                <w:p w14:paraId="4C3AFF50">
                  <w:pPr>
                    <w:pStyle w:val="86"/>
                    <w:rPr>
                      <w:rFonts w:ascii="Calibri" w:hAnsi="Calibri"/>
                    </w:rPr>
                  </w:pPr>
                </w:p>
              </w:tc>
              <w:tc>
                <w:tcPr>
                  <w:tcW w:w="851" w:type="dxa"/>
                  <w:vMerge w:val="continue"/>
                  <w:vAlign w:val="center"/>
                </w:tcPr>
                <w:p w14:paraId="0E616CDE">
                  <w:pPr>
                    <w:pStyle w:val="86"/>
                    <w:rPr>
                      <w:rFonts w:ascii="Calibri" w:hAnsi="Calibri"/>
                    </w:rPr>
                  </w:pPr>
                </w:p>
              </w:tc>
              <w:tc>
                <w:tcPr>
                  <w:tcW w:w="668" w:type="dxa"/>
                  <w:vMerge w:val="continue"/>
                  <w:vAlign w:val="center"/>
                </w:tcPr>
                <w:p w14:paraId="4A9A3B18">
                  <w:pPr>
                    <w:pStyle w:val="86"/>
                    <w:rPr>
                      <w:rFonts w:ascii="Calibri" w:hAnsi="Calibri"/>
                    </w:rPr>
                  </w:pPr>
                </w:p>
              </w:tc>
              <w:tc>
                <w:tcPr>
                  <w:tcW w:w="645" w:type="dxa"/>
                  <w:vMerge w:val="continue"/>
                  <w:vAlign w:val="center"/>
                </w:tcPr>
                <w:p w14:paraId="19D9D546">
                  <w:pPr>
                    <w:pStyle w:val="86"/>
                    <w:rPr>
                      <w:rFonts w:ascii="Calibri" w:hAnsi="Calibri"/>
                    </w:rPr>
                  </w:pPr>
                </w:p>
              </w:tc>
              <w:tc>
                <w:tcPr>
                  <w:tcW w:w="972" w:type="dxa"/>
                  <w:vMerge w:val="continue"/>
                  <w:vAlign w:val="center"/>
                </w:tcPr>
                <w:p w14:paraId="54D791D4">
                  <w:pPr>
                    <w:pStyle w:val="86"/>
                    <w:rPr>
                      <w:rFonts w:ascii="Calibri" w:hAnsi="Calibri"/>
                    </w:rPr>
                  </w:pPr>
                </w:p>
              </w:tc>
              <w:tc>
                <w:tcPr>
                  <w:tcW w:w="470" w:type="dxa"/>
                  <w:vMerge w:val="continue"/>
                  <w:vAlign w:val="center"/>
                </w:tcPr>
                <w:p w14:paraId="6D026314">
                  <w:pPr>
                    <w:pStyle w:val="86"/>
                    <w:rPr>
                      <w:rFonts w:ascii="Calibri" w:hAnsi="Calibri"/>
                    </w:rPr>
                  </w:pPr>
                </w:p>
              </w:tc>
              <w:tc>
                <w:tcPr>
                  <w:tcW w:w="729" w:type="dxa"/>
                  <w:vMerge w:val="continue"/>
                  <w:vAlign w:val="center"/>
                </w:tcPr>
                <w:p w14:paraId="0F9FFA25">
                  <w:pPr>
                    <w:pStyle w:val="86"/>
                    <w:rPr>
                      <w:rFonts w:ascii="Calibri" w:hAnsi="Calibri"/>
                    </w:rPr>
                  </w:pPr>
                </w:p>
              </w:tc>
              <w:tc>
                <w:tcPr>
                  <w:tcW w:w="469" w:type="dxa"/>
                  <w:vMerge w:val="continue"/>
                  <w:vAlign w:val="center"/>
                </w:tcPr>
                <w:p w14:paraId="074C04EF">
                  <w:pPr>
                    <w:pStyle w:val="86"/>
                    <w:rPr>
                      <w:rFonts w:ascii="Calibri" w:hAnsi="Calibri"/>
                    </w:rPr>
                  </w:pPr>
                </w:p>
              </w:tc>
              <w:tc>
                <w:tcPr>
                  <w:tcW w:w="469" w:type="dxa"/>
                  <w:vMerge w:val="continue"/>
                  <w:vAlign w:val="center"/>
                </w:tcPr>
                <w:p w14:paraId="0A65EDBD">
                  <w:pPr>
                    <w:pStyle w:val="86"/>
                    <w:rPr>
                      <w:rFonts w:ascii="Calibri" w:hAnsi="Calibri"/>
                    </w:rPr>
                  </w:pPr>
                </w:p>
              </w:tc>
              <w:tc>
                <w:tcPr>
                  <w:tcW w:w="414" w:type="dxa"/>
                  <w:vMerge w:val="continue"/>
                  <w:vAlign w:val="center"/>
                </w:tcPr>
                <w:p w14:paraId="035E25E2">
                  <w:pPr>
                    <w:pStyle w:val="86"/>
                    <w:rPr>
                      <w:rFonts w:ascii="Calibri" w:hAnsi="Calibri"/>
                    </w:rPr>
                  </w:pPr>
                </w:p>
              </w:tc>
              <w:tc>
                <w:tcPr>
                  <w:tcW w:w="469" w:type="dxa"/>
                  <w:vAlign w:val="center"/>
                </w:tcPr>
                <w:p w14:paraId="4DE007BF">
                  <w:pPr>
                    <w:pStyle w:val="86"/>
                  </w:pPr>
                  <w:r>
                    <w:t>北</w:t>
                  </w:r>
                </w:p>
              </w:tc>
              <w:tc>
                <w:tcPr>
                  <w:tcW w:w="643" w:type="dxa"/>
                  <w:vAlign w:val="center"/>
                </w:tcPr>
                <w:p w14:paraId="26961084">
                  <w:pPr>
                    <w:pStyle w:val="86"/>
                  </w:pPr>
                  <w:r>
                    <w:t xml:space="preserve">27.0 </w:t>
                  </w:r>
                </w:p>
              </w:tc>
              <w:tc>
                <w:tcPr>
                  <w:tcW w:w="906" w:type="dxa"/>
                  <w:vAlign w:val="center"/>
                </w:tcPr>
                <w:p w14:paraId="66046188">
                  <w:pPr>
                    <w:pStyle w:val="86"/>
                  </w:pPr>
                  <w:r>
                    <w:t xml:space="preserve">65.9 </w:t>
                  </w:r>
                </w:p>
              </w:tc>
              <w:tc>
                <w:tcPr>
                  <w:tcW w:w="618" w:type="dxa"/>
                  <w:vMerge w:val="continue"/>
                  <w:vAlign w:val="center"/>
                </w:tcPr>
                <w:p w14:paraId="511E867B">
                  <w:pPr>
                    <w:pStyle w:val="86"/>
                  </w:pPr>
                </w:p>
              </w:tc>
              <w:tc>
                <w:tcPr>
                  <w:tcW w:w="906" w:type="dxa"/>
                  <w:vMerge w:val="continue"/>
                  <w:vAlign w:val="center"/>
                </w:tcPr>
                <w:p w14:paraId="1B1A01FD">
                  <w:pPr>
                    <w:pStyle w:val="86"/>
                  </w:pPr>
                </w:p>
              </w:tc>
              <w:tc>
                <w:tcPr>
                  <w:tcW w:w="906" w:type="dxa"/>
                  <w:vAlign w:val="center"/>
                </w:tcPr>
                <w:p w14:paraId="4FCB1090">
                  <w:pPr>
                    <w:pStyle w:val="86"/>
                    <w:rPr>
                      <w:kern w:val="2"/>
                    </w:rPr>
                  </w:pPr>
                  <w:r>
                    <w:t xml:space="preserve">40.9 </w:t>
                  </w:r>
                </w:p>
              </w:tc>
              <w:tc>
                <w:tcPr>
                  <w:tcW w:w="527" w:type="dxa"/>
                  <w:vAlign w:val="center"/>
                </w:tcPr>
                <w:p w14:paraId="3C47535B">
                  <w:pPr>
                    <w:pStyle w:val="86"/>
                  </w:pPr>
                  <w:r>
                    <w:t>1</w:t>
                  </w:r>
                </w:p>
              </w:tc>
            </w:tr>
            <w:tr w14:paraId="62F9A81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4C97338D">
                  <w:pPr>
                    <w:pStyle w:val="86"/>
                  </w:pPr>
                  <w:r>
                    <w:t>9</w:t>
                  </w:r>
                </w:p>
              </w:tc>
              <w:tc>
                <w:tcPr>
                  <w:tcW w:w="776" w:type="dxa"/>
                  <w:vMerge w:val="restart"/>
                  <w:vAlign w:val="center"/>
                </w:tcPr>
                <w:p w14:paraId="5FA193BE">
                  <w:pPr>
                    <w:pStyle w:val="86"/>
                  </w:pPr>
                  <w:r>
                    <w:rPr>
                      <w:rFonts w:hint="eastAsia"/>
                    </w:rPr>
                    <w:t>生产车间</w:t>
                  </w:r>
                </w:p>
              </w:tc>
              <w:tc>
                <w:tcPr>
                  <w:tcW w:w="851" w:type="dxa"/>
                  <w:vMerge w:val="restart"/>
                  <w:vAlign w:val="center"/>
                </w:tcPr>
                <w:p w14:paraId="54ADD2F6">
                  <w:pPr>
                    <w:pStyle w:val="86"/>
                  </w:pPr>
                  <w:r>
                    <w:rPr>
                      <w:rFonts w:hint="eastAsia"/>
                    </w:rPr>
                    <w:t>自动包装机</w:t>
                  </w:r>
                </w:p>
              </w:tc>
              <w:tc>
                <w:tcPr>
                  <w:tcW w:w="668" w:type="dxa"/>
                  <w:vMerge w:val="restart"/>
                  <w:vAlign w:val="center"/>
                </w:tcPr>
                <w:p w14:paraId="2B8319A2">
                  <w:pPr>
                    <w:pStyle w:val="86"/>
                  </w:pPr>
                  <w:r>
                    <w:t>/</w:t>
                  </w:r>
                </w:p>
              </w:tc>
              <w:tc>
                <w:tcPr>
                  <w:tcW w:w="645" w:type="dxa"/>
                  <w:vMerge w:val="restart"/>
                  <w:vAlign w:val="center"/>
                </w:tcPr>
                <w:p w14:paraId="5F7B35C4">
                  <w:pPr>
                    <w:pStyle w:val="86"/>
                  </w:pPr>
                  <w:r>
                    <w:t xml:space="preserve">1 </w:t>
                  </w:r>
                </w:p>
              </w:tc>
              <w:tc>
                <w:tcPr>
                  <w:tcW w:w="972" w:type="dxa"/>
                  <w:vMerge w:val="restart"/>
                  <w:vAlign w:val="center"/>
                </w:tcPr>
                <w:p w14:paraId="14CA78D9">
                  <w:pPr>
                    <w:pStyle w:val="86"/>
                  </w:pPr>
                  <w:r>
                    <w:t>75/1</w:t>
                  </w:r>
                </w:p>
              </w:tc>
              <w:tc>
                <w:tcPr>
                  <w:tcW w:w="470" w:type="dxa"/>
                  <w:vMerge w:val="restart"/>
                  <w:vAlign w:val="center"/>
                </w:tcPr>
                <w:p w14:paraId="368ACBBD">
                  <w:pPr>
                    <w:pStyle w:val="86"/>
                  </w:pPr>
                  <w:r>
                    <w:t>/</w:t>
                  </w:r>
                </w:p>
              </w:tc>
              <w:tc>
                <w:tcPr>
                  <w:tcW w:w="729" w:type="dxa"/>
                  <w:vMerge w:val="restart"/>
                  <w:vAlign w:val="center"/>
                </w:tcPr>
                <w:p w14:paraId="05B6E044">
                  <w:pPr>
                    <w:pStyle w:val="86"/>
                  </w:pPr>
                  <w:r>
                    <w:rPr>
                      <w:rFonts w:hint="eastAsia"/>
                    </w:rPr>
                    <w:t>基础减振、厂房隔声</w:t>
                  </w:r>
                </w:p>
              </w:tc>
              <w:tc>
                <w:tcPr>
                  <w:tcW w:w="469" w:type="dxa"/>
                  <w:vMerge w:val="restart"/>
                  <w:vAlign w:val="center"/>
                </w:tcPr>
                <w:p w14:paraId="53C63292">
                  <w:pPr>
                    <w:pStyle w:val="86"/>
                  </w:pPr>
                  <w:r>
                    <w:t>60</w:t>
                  </w:r>
                </w:p>
              </w:tc>
              <w:tc>
                <w:tcPr>
                  <w:tcW w:w="469" w:type="dxa"/>
                  <w:vMerge w:val="restart"/>
                  <w:vAlign w:val="center"/>
                </w:tcPr>
                <w:p w14:paraId="758EE8C5">
                  <w:pPr>
                    <w:pStyle w:val="86"/>
                  </w:pPr>
                  <w:r>
                    <w:t>11</w:t>
                  </w:r>
                </w:p>
              </w:tc>
              <w:tc>
                <w:tcPr>
                  <w:tcW w:w="414" w:type="dxa"/>
                  <w:vMerge w:val="restart"/>
                  <w:vAlign w:val="center"/>
                </w:tcPr>
                <w:p w14:paraId="0684D6B0">
                  <w:pPr>
                    <w:pStyle w:val="86"/>
                  </w:pPr>
                  <w:r>
                    <w:t>1</w:t>
                  </w:r>
                </w:p>
              </w:tc>
              <w:tc>
                <w:tcPr>
                  <w:tcW w:w="469" w:type="dxa"/>
                  <w:vAlign w:val="center"/>
                </w:tcPr>
                <w:p w14:paraId="312CE100">
                  <w:pPr>
                    <w:pStyle w:val="86"/>
                    <w:rPr>
                      <w:kern w:val="2"/>
                    </w:rPr>
                  </w:pPr>
                  <w:r>
                    <w:t>东</w:t>
                  </w:r>
                </w:p>
              </w:tc>
              <w:tc>
                <w:tcPr>
                  <w:tcW w:w="643" w:type="dxa"/>
                  <w:vAlign w:val="center"/>
                </w:tcPr>
                <w:p w14:paraId="21C08648">
                  <w:pPr>
                    <w:pStyle w:val="86"/>
                  </w:pPr>
                  <w:r>
                    <w:t xml:space="preserve">32.1 </w:t>
                  </w:r>
                </w:p>
              </w:tc>
              <w:tc>
                <w:tcPr>
                  <w:tcW w:w="906" w:type="dxa"/>
                  <w:vAlign w:val="center"/>
                </w:tcPr>
                <w:p w14:paraId="71EC445B">
                  <w:pPr>
                    <w:pStyle w:val="86"/>
                  </w:pPr>
                  <w:r>
                    <w:t xml:space="preserve">57.7 </w:t>
                  </w:r>
                </w:p>
              </w:tc>
              <w:tc>
                <w:tcPr>
                  <w:tcW w:w="618" w:type="dxa"/>
                  <w:vMerge w:val="restart"/>
                  <w:vAlign w:val="center"/>
                </w:tcPr>
                <w:p w14:paraId="10074CD9">
                  <w:pPr>
                    <w:pStyle w:val="86"/>
                  </w:pPr>
                  <w:r>
                    <w:rPr>
                      <w:rFonts w:hint="eastAsia"/>
                    </w:rPr>
                    <w:t>持续运行</w:t>
                  </w:r>
                </w:p>
              </w:tc>
              <w:tc>
                <w:tcPr>
                  <w:tcW w:w="906" w:type="dxa"/>
                  <w:vMerge w:val="restart"/>
                  <w:vAlign w:val="center"/>
                </w:tcPr>
                <w:p w14:paraId="031BE8FE">
                  <w:pPr>
                    <w:pStyle w:val="86"/>
                  </w:pPr>
                  <w:r>
                    <w:t>25</w:t>
                  </w:r>
                </w:p>
              </w:tc>
              <w:tc>
                <w:tcPr>
                  <w:tcW w:w="906" w:type="dxa"/>
                  <w:vAlign w:val="center"/>
                </w:tcPr>
                <w:p w14:paraId="60C608AD">
                  <w:pPr>
                    <w:pStyle w:val="86"/>
                    <w:rPr>
                      <w:kern w:val="2"/>
                    </w:rPr>
                  </w:pPr>
                  <w:r>
                    <w:t xml:space="preserve">32.7 </w:t>
                  </w:r>
                </w:p>
              </w:tc>
              <w:tc>
                <w:tcPr>
                  <w:tcW w:w="527" w:type="dxa"/>
                  <w:vAlign w:val="center"/>
                </w:tcPr>
                <w:p w14:paraId="2847BBBA">
                  <w:pPr>
                    <w:pStyle w:val="86"/>
                  </w:pPr>
                  <w:r>
                    <w:t>1</w:t>
                  </w:r>
                </w:p>
              </w:tc>
            </w:tr>
            <w:tr w14:paraId="094CF86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1EB31656">
                  <w:pPr>
                    <w:pStyle w:val="86"/>
                    <w:rPr>
                      <w:rFonts w:ascii="Calibri" w:hAnsi="Calibri"/>
                    </w:rPr>
                  </w:pPr>
                </w:p>
              </w:tc>
              <w:tc>
                <w:tcPr>
                  <w:tcW w:w="776" w:type="dxa"/>
                  <w:vMerge w:val="continue"/>
                  <w:vAlign w:val="center"/>
                </w:tcPr>
                <w:p w14:paraId="576CA4C0">
                  <w:pPr>
                    <w:pStyle w:val="86"/>
                    <w:rPr>
                      <w:rFonts w:ascii="Calibri" w:hAnsi="Calibri"/>
                    </w:rPr>
                  </w:pPr>
                </w:p>
              </w:tc>
              <w:tc>
                <w:tcPr>
                  <w:tcW w:w="851" w:type="dxa"/>
                  <w:vMerge w:val="continue"/>
                  <w:vAlign w:val="center"/>
                </w:tcPr>
                <w:p w14:paraId="7DF94CD6">
                  <w:pPr>
                    <w:pStyle w:val="86"/>
                    <w:rPr>
                      <w:rFonts w:ascii="Calibri" w:hAnsi="Calibri"/>
                    </w:rPr>
                  </w:pPr>
                </w:p>
              </w:tc>
              <w:tc>
                <w:tcPr>
                  <w:tcW w:w="668" w:type="dxa"/>
                  <w:vMerge w:val="continue"/>
                  <w:vAlign w:val="center"/>
                </w:tcPr>
                <w:p w14:paraId="6005ADF1">
                  <w:pPr>
                    <w:pStyle w:val="86"/>
                    <w:rPr>
                      <w:rFonts w:ascii="Calibri" w:hAnsi="Calibri"/>
                    </w:rPr>
                  </w:pPr>
                </w:p>
              </w:tc>
              <w:tc>
                <w:tcPr>
                  <w:tcW w:w="645" w:type="dxa"/>
                  <w:vMerge w:val="continue"/>
                  <w:vAlign w:val="center"/>
                </w:tcPr>
                <w:p w14:paraId="54EEEEA9">
                  <w:pPr>
                    <w:pStyle w:val="86"/>
                    <w:rPr>
                      <w:rFonts w:ascii="Calibri" w:hAnsi="Calibri"/>
                    </w:rPr>
                  </w:pPr>
                </w:p>
              </w:tc>
              <w:tc>
                <w:tcPr>
                  <w:tcW w:w="972" w:type="dxa"/>
                  <w:vMerge w:val="continue"/>
                  <w:vAlign w:val="center"/>
                </w:tcPr>
                <w:p w14:paraId="6D46A9C0">
                  <w:pPr>
                    <w:pStyle w:val="86"/>
                    <w:rPr>
                      <w:rFonts w:ascii="Calibri" w:hAnsi="Calibri"/>
                    </w:rPr>
                  </w:pPr>
                </w:p>
              </w:tc>
              <w:tc>
                <w:tcPr>
                  <w:tcW w:w="470" w:type="dxa"/>
                  <w:vMerge w:val="continue"/>
                  <w:vAlign w:val="center"/>
                </w:tcPr>
                <w:p w14:paraId="4AEB1B38">
                  <w:pPr>
                    <w:pStyle w:val="86"/>
                    <w:rPr>
                      <w:rFonts w:ascii="Calibri" w:hAnsi="Calibri"/>
                    </w:rPr>
                  </w:pPr>
                </w:p>
              </w:tc>
              <w:tc>
                <w:tcPr>
                  <w:tcW w:w="729" w:type="dxa"/>
                  <w:vMerge w:val="continue"/>
                  <w:vAlign w:val="center"/>
                </w:tcPr>
                <w:p w14:paraId="387FFF8C">
                  <w:pPr>
                    <w:pStyle w:val="86"/>
                    <w:rPr>
                      <w:rFonts w:ascii="Calibri" w:hAnsi="Calibri"/>
                    </w:rPr>
                  </w:pPr>
                </w:p>
              </w:tc>
              <w:tc>
                <w:tcPr>
                  <w:tcW w:w="469" w:type="dxa"/>
                  <w:vMerge w:val="continue"/>
                  <w:vAlign w:val="center"/>
                </w:tcPr>
                <w:p w14:paraId="217B6D49">
                  <w:pPr>
                    <w:pStyle w:val="86"/>
                    <w:rPr>
                      <w:rFonts w:ascii="Calibri" w:hAnsi="Calibri"/>
                    </w:rPr>
                  </w:pPr>
                </w:p>
              </w:tc>
              <w:tc>
                <w:tcPr>
                  <w:tcW w:w="469" w:type="dxa"/>
                  <w:vMerge w:val="continue"/>
                  <w:vAlign w:val="center"/>
                </w:tcPr>
                <w:p w14:paraId="171C51AE">
                  <w:pPr>
                    <w:pStyle w:val="86"/>
                    <w:rPr>
                      <w:rFonts w:ascii="Calibri" w:hAnsi="Calibri"/>
                    </w:rPr>
                  </w:pPr>
                </w:p>
              </w:tc>
              <w:tc>
                <w:tcPr>
                  <w:tcW w:w="414" w:type="dxa"/>
                  <w:vMerge w:val="continue"/>
                  <w:vAlign w:val="center"/>
                </w:tcPr>
                <w:p w14:paraId="3476309E">
                  <w:pPr>
                    <w:pStyle w:val="86"/>
                    <w:rPr>
                      <w:rFonts w:ascii="Calibri" w:hAnsi="Calibri"/>
                    </w:rPr>
                  </w:pPr>
                </w:p>
              </w:tc>
              <w:tc>
                <w:tcPr>
                  <w:tcW w:w="469" w:type="dxa"/>
                  <w:vAlign w:val="center"/>
                </w:tcPr>
                <w:p w14:paraId="3533DDEA">
                  <w:pPr>
                    <w:pStyle w:val="86"/>
                  </w:pPr>
                  <w:r>
                    <w:t>南</w:t>
                  </w:r>
                </w:p>
              </w:tc>
              <w:tc>
                <w:tcPr>
                  <w:tcW w:w="643" w:type="dxa"/>
                  <w:vAlign w:val="center"/>
                </w:tcPr>
                <w:p w14:paraId="21D51C8C">
                  <w:pPr>
                    <w:pStyle w:val="86"/>
                  </w:pPr>
                  <w:r>
                    <w:t xml:space="preserve">19.5 </w:t>
                  </w:r>
                </w:p>
              </w:tc>
              <w:tc>
                <w:tcPr>
                  <w:tcW w:w="906" w:type="dxa"/>
                  <w:vAlign w:val="center"/>
                </w:tcPr>
                <w:p w14:paraId="07B4E5BA">
                  <w:pPr>
                    <w:pStyle w:val="86"/>
                  </w:pPr>
                  <w:r>
                    <w:t xml:space="preserve">57.6 </w:t>
                  </w:r>
                </w:p>
              </w:tc>
              <w:tc>
                <w:tcPr>
                  <w:tcW w:w="618" w:type="dxa"/>
                  <w:vMerge w:val="continue"/>
                  <w:vAlign w:val="center"/>
                </w:tcPr>
                <w:p w14:paraId="41DDD342">
                  <w:pPr>
                    <w:pStyle w:val="86"/>
                  </w:pPr>
                </w:p>
              </w:tc>
              <w:tc>
                <w:tcPr>
                  <w:tcW w:w="906" w:type="dxa"/>
                  <w:vMerge w:val="continue"/>
                  <w:vAlign w:val="center"/>
                </w:tcPr>
                <w:p w14:paraId="75FE57C6">
                  <w:pPr>
                    <w:pStyle w:val="86"/>
                  </w:pPr>
                </w:p>
              </w:tc>
              <w:tc>
                <w:tcPr>
                  <w:tcW w:w="906" w:type="dxa"/>
                  <w:vAlign w:val="center"/>
                </w:tcPr>
                <w:p w14:paraId="397A4E1A">
                  <w:pPr>
                    <w:pStyle w:val="86"/>
                    <w:rPr>
                      <w:kern w:val="2"/>
                    </w:rPr>
                  </w:pPr>
                  <w:r>
                    <w:t xml:space="preserve">32.6 </w:t>
                  </w:r>
                </w:p>
              </w:tc>
              <w:tc>
                <w:tcPr>
                  <w:tcW w:w="527" w:type="dxa"/>
                  <w:vAlign w:val="center"/>
                </w:tcPr>
                <w:p w14:paraId="24130900">
                  <w:pPr>
                    <w:pStyle w:val="86"/>
                  </w:pPr>
                  <w:r>
                    <w:t>1</w:t>
                  </w:r>
                </w:p>
              </w:tc>
            </w:tr>
            <w:tr w14:paraId="5E88733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68E2521F">
                  <w:pPr>
                    <w:pStyle w:val="86"/>
                    <w:rPr>
                      <w:rFonts w:ascii="Calibri" w:hAnsi="Calibri"/>
                    </w:rPr>
                  </w:pPr>
                </w:p>
              </w:tc>
              <w:tc>
                <w:tcPr>
                  <w:tcW w:w="776" w:type="dxa"/>
                  <w:vMerge w:val="continue"/>
                  <w:vAlign w:val="center"/>
                </w:tcPr>
                <w:p w14:paraId="4D754CC6">
                  <w:pPr>
                    <w:pStyle w:val="86"/>
                    <w:rPr>
                      <w:rFonts w:ascii="Calibri" w:hAnsi="Calibri"/>
                    </w:rPr>
                  </w:pPr>
                </w:p>
              </w:tc>
              <w:tc>
                <w:tcPr>
                  <w:tcW w:w="851" w:type="dxa"/>
                  <w:vMerge w:val="continue"/>
                  <w:vAlign w:val="center"/>
                </w:tcPr>
                <w:p w14:paraId="280F15C8">
                  <w:pPr>
                    <w:pStyle w:val="86"/>
                    <w:rPr>
                      <w:rFonts w:ascii="Calibri" w:hAnsi="Calibri"/>
                    </w:rPr>
                  </w:pPr>
                </w:p>
              </w:tc>
              <w:tc>
                <w:tcPr>
                  <w:tcW w:w="668" w:type="dxa"/>
                  <w:vMerge w:val="continue"/>
                  <w:vAlign w:val="center"/>
                </w:tcPr>
                <w:p w14:paraId="65C368EE">
                  <w:pPr>
                    <w:pStyle w:val="86"/>
                    <w:rPr>
                      <w:rFonts w:ascii="Calibri" w:hAnsi="Calibri"/>
                    </w:rPr>
                  </w:pPr>
                </w:p>
              </w:tc>
              <w:tc>
                <w:tcPr>
                  <w:tcW w:w="645" w:type="dxa"/>
                  <w:vMerge w:val="continue"/>
                  <w:vAlign w:val="center"/>
                </w:tcPr>
                <w:p w14:paraId="149D530C">
                  <w:pPr>
                    <w:pStyle w:val="86"/>
                    <w:rPr>
                      <w:rFonts w:ascii="Calibri" w:hAnsi="Calibri"/>
                    </w:rPr>
                  </w:pPr>
                </w:p>
              </w:tc>
              <w:tc>
                <w:tcPr>
                  <w:tcW w:w="972" w:type="dxa"/>
                  <w:vMerge w:val="continue"/>
                  <w:vAlign w:val="center"/>
                </w:tcPr>
                <w:p w14:paraId="7287AC01">
                  <w:pPr>
                    <w:pStyle w:val="86"/>
                    <w:rPr>
                      <w:rFonts w:ascii="Calibri" w:hAnsi="Calibri"/>
                    </w:rPr>
                  </w:pPr>
                </w:p>
              </w:tc>
              <w:tc>
                <w:tcPr>
                  <w:tcW w:w="470" w:type="dxa"/>
                  <w:vMerge w:val="continue"/>
                  <w:vAlign w:val="center"/>
                </w:tcPr>
                <w:p w14:paraId="59DE887D">
                  <w:pPr>
                    <w:pStyle w:val="86"/>
                    <w:rPr>
                      <w:rFonts w:ascii="Calibri" w:hAnsi="Calibri"/>
                    </w:rPr>
                  </w:pPr>
                </w:p>
              </w:tc>
              <w:tc>
                <w:tcPr>
                  <w:tcW w:w="729" w:type="dxa"/>
                  <w:vMerge w:val="continue"/>
                  <w:vAlign w:val="center"/>
                </w:tcPr>
                <w:p w14:paraId="4927136D">
                  <w:pPr>
                    <w:pStyle w:val="86"/>
                    <w:rPr>
                      <w:rFonts w:ascii="Calibri" w:hAnsi="Calibri"/>
                    </w:rPr>
                  </w:pPr>
                </w:p>
              </w:tc>
              <w:tc>
                <w:tcPr>
                  <w:tcW w:w="469" w:type="dxa"/>
                  <w:vMerge w:val="continue"/>
                  <w:vAlign w:val="center"/>
                </w:tcPr>
                <w:p w14:paraId="7B212BA3">
                  <w:pPr>
                    <w:pStyle w:val="86"/>
                    <w:rPr>
                      <w:rFonts w:ascii="Calibri" w:hAnsi="Calibri"/>
                    </w:rPr>
                  </w:pPr>
                </w:p>
              </w:tc>
              <w:tc>
                <w:tcPr>
                  <w:tcW w:w="469" w:type="dxa"/>
                  <w:vMerge w:val="continue"/>
                  <w:vAlign w:val="center"/>
                </w:tcPr>
                <w:p w14:paraId="429413C3">
                  <w:pPr>
                    <w:pStyle w:val="86"/>
                    <w:rPr>
                      <w:rFonts w:ascii="Calibri" w:hAnsi="Calibri"/>
                    </w:rPr>
                  </w:pPr>
                </w:p>
              </w:tc>
              <w:tc>
                <w:tcPr>
                  <w:tcW w:w="414" w:type="dxa"/>
                  <w:vMerge w:val="continue"/>
                  <w:vAlign w:val="center"/>
                </w:tcPr>
                <w:p w14:paraId="45C6E9F2">
                  <w:pPr>
                    <w:pStyle w:val="86"/>
                    <w:rPr>
                      <w:rFonts w:ascii="Calibri" w:hAnsi="Calibri"/>
                    </w:rPr>
                  </w:pPr>
                </w:p>
              </w:tc>
              <w:tc>
                <w:tcPr>
                  <w:tcW w:w="469" w:type="dxa"/>
                  <w:vAlign w:val="center"/>
                </w:tcPr>
                <w:p w14:paraId="7B09B50A">
                  <w:pPr>
                    <w:pStyle w:val="86"/>
                  </w:pPr>
                  <w:r>
                    <w:t>西</w:t>
                  </w:r>
                </w:p>
              </w:tc>
              <w:tc>
                <w:tcPr>
                  <w:tcW w:w="643" w:type="dxa"/>
                  <w:vAlign w:val="center"/>
                </w:tcPr>
                <w:p w14:paraId="3E732F74">
                  <w:pPr>
                    <w:pStyle w:val="86"/>
                  </w:pPr>
                  <w:r>
                    <w:t xml:space="preserve">59.2 </w:t>
                  </w:r>
                </w:p>
              </w:tc>
              <w:tc>
                <w:tcPr>
                  <w:tcW w:w="906" w:type="dxa"/>
                  <w:vAlign w:val="center"/>
                </w:tcPr>
                <w:p w14:paraId="63F0417E">
                  <w:pPr>
                    <w:pStyle w:val="86"/>
                  </w:pPr>
                  <w:r>
                    <w:t xml:space="preserve">57.3 </w:t>
                  </w:r>
                </w:p>
              </w:tc>
              <w:tc>
                <w:tcPr>
                  <w:tcW w:w="618" w:type="dxa"/>
                  <w:vMerge w:val="continue"/>
                  <w:vAlign w:val="center"/>
                </w:tcPr>
                <w:p w14:paraId="130D5C23">
                  <w:pPr>
                    <w:pStyle w:val="86"/>
                  </w:pPr>
                </w:p>
              </w:tc>
              <w:tc>
                <w:tcPr>
                  <w:tcW w:w="906" w:type="dxa"/>
                  <w:vMerge w:val="continue"/>
                  <w:vAlign w:val="center"/>
                </w:tcPr>
                <w:p w14:paraId="02946AA2">
                  <w:pPr>
                    <w:pStyle w:val="86"/>
                  </w:pPr>
                </w:p>
              </w:tc>
              <w:tc>
                <w:tcPr>
                  <w:tcW w:w="906" w:type="dxa"/>
                  <w:vAlign w:val="center"/>
                </w:tcPr>
                <w:p w14:paraId="12CB7A02">
                  <w:pPr>
                    <w:pStyle w:val="86"/>
                    <w:rPr>
                      <w:kern w:val="2"/>
                    </w:rPr>
                  </w:pPr>
                  <w:r>
                    <w:t xml:space="preserve">32.3 </w:t>
                  </w:r>
                </w:p>
              </w:tc>
              <w:tc>
                <w:tcPr>
                  <w:tcW w:w="527" w:type="dxa"/>
                  <w:vAlign w:val="center"/>
                </w:tcPr>
                <w:p w14:paraId="23145833">
                  <w:pPr>
                    <w:pStyle w:val="86"/>
                  </w:pPr>
                  <w:r>
                    <w:t>1</w:t>
                  </w:r>
                </w:p>
              </w:tc>
            </w:tr>
            <w:tr w14:paraId="2FAEA0F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33B90B41">
                  <w:pPr>
                    <w:pStyle w:val="86"/>
                    <w:rPr>
                      <w:rFonts w:ascii="Calibri" w:hAnsi="Calibri"/>
                    </w:rPr>
                  </w:pPr>
                </w:p>
              </w:tc>
              <w:tc>
                <w:tcPr>
                  <w:tcW w:w="776" w:type="dxa"/>
                  <w:vMerge w:val="continue"/>
                  <w:vAlign w:val="center"/>
                </w:tcPr>
                <w:p w14:paraId="5CF18345">
                  <w:pPr>
                    <w:pStyle w:val="86"/>
                    <w:rPr>
                      <w:rFonts w:ascii="Calibri" w:hAnsi="Calibri"/>
                    </w:rPr>
                  </w:pPr>
                </w:p>
              </w:tc>
              <w:tc>
                <w:tcPr>
                  <w:tcW w:w="851" w:type="dxa"/>
                  <w:vMerge w:val="continue"/>
                  <w:vAlign w:val="center"/>
                </w:tcPr>
                <w:p w14:paraId="3845D2EC">
                  <w:pPr>
                    <w:pStyle w:val="86"/>
                    <w:rPr>
                      <w:rFonts w:ascii="Calibri" w:hAnsi="Calibri"/>
                    </w:rPr>
                  </w:pPr>
                </w:p>
              </w:tc>
              <w:tc>
                <w:tcPr>
                  <w:tcW w:w="668" w:type="dxa"/>
                  <w:vMerge w:val="continue"/>
                  <w:vAlign w:val="center"/>
                </w:tcPr>
                <w:p w14:paraId="69B96DF1">
                  <w:pPr>
                    <w:pStyle w:val="86"/>
                    <w:rPr>
                      <w:rFonts w:ascii="Calibri" w:hAnsi="Calibri"/>
                    </w:rPr>
                  </w:pPr>
                </w:p>
              </w:tc>
              <w:tc>
                <w:tcPr>
                  <w:tcW w:w="645" w:type="dxa"/>
                  <w:vMerge w:val="continue"/>
                  <w:vAlign w:val="center"/>
                </w:tcPr>
                <w:p w14:paraId="09BB97F6">
                  <w:pPr>
                    <w:pStyle w:val="86"/>
                    <w:rPr>
                      <w:rFonts w:ascii="Calibri" w:hAnsi="Calibri"/>
                    </w:rPr>
                  </w:pPr>
                </w:p>
              </w:tc>
              <w:tc>
                <w:tcPr>
                  <w:tcW w:w="972" w:type="dxa"/>
                  <w:vMerge w:val="continue"/>
                  <w:vAlign w:val="center"/>
                </w:tcPr>
                <w:p w14:paraId="7CC170EF">
                  <w:pPr>
                    <w:pStyle w:val="86"/>
                    <w:rPr>
                      <w:rFonts w:ascii="Calibri" w:hAnsi="Calibri"/>
                    </w:rPr>
                  </w:pPr>
                </w:p>
              </w:tc>
              <w:tc>
                <w:tcPr>
                  <w:tcW w:w="470" w:type="dxa"/>
                  <w:vMerge w:val="continue"/>
                  <w:vAlign w:val="center"/>
                </w:tcPr>
                <w:p w14:paraId="24168659">
                  <w:pPr>
                    <w:pStyle w:val="86"/>
                    <w:rPr>
                      <w:rFonts w:ascii="Calibri" w:hAnsi="Calibri"/>
                    </w:rPr>
                  </w:pPr>
                </w:p>
              </w:tc>
              <w:tc>
                <w:tcPr>
                  <w:tcW w:w="729" w:type="dxa"/>
                  <w:vMerge w:val="continue"/>
                  <w:vAlign w:val="center"/>
                </w:tcPr>
                <w:p w14:paraId="0F2CD230">
                  <w:pPr>
                    <w:pStyle w:val="86"/>
                    <w:rPr>
                      <w:rFonts w:ascii="Calibri" w:hAnsi="Calibri"/>
                    </w:rPr>
                  </w:pPr>
                </w:p>
              </w:tc>
              <w:tc>
                <w:tcPr>
                  <w:tcW w:w="469" w:type="dxa"/>
                  <w:vMerge w:val="continue"/>
                  <w:vAlign w:val="center"/>
                </w:tcPr>
                <w:p w14:paraId="45882459">
                  <w:pPr>
                    <w:pStyle w:val="86"/>
                    <w:rPr>
                      <w:rFonts w:ascii="Calibri" w:hAnsi="Calibri"/>
                    </w:rPr>
                  </w:pPr>
                </w:p>
              </w:tc>
              <w:tc>
                <w:tcPr>
                  <w:tcW w:w="469" w:type="dxa"/>
                  <w:vMerge w:val="continue"/>
                  <w:vAlign w:val="center"/>
                </w:tcPr>
                <w:p w14:paraId="12E74AEB">
                  <w:pPr>
                    <w:pStyle w:val="86"/>
                    <w:rPr>
                      <w:rFonts w:ascii="Calibri" w:hAnsi="Calibri"/>
                    </w:rPr>
                  </w:pPr>
                </w:p>
              </w:tc>
              <w:tc>
                <w:tcPr>
                  <w:tcW w:w="414" w:type="dxa"/>
                  <w:vMerge w:val="continue"/>
                  <w:vAlign w:val="center"/>
                </w:tcPr>
                <w:p w14:paraId="4E31D204">
                  <w:pPr>
                    <w:pStyle w:val="86"/>
                    <w:rPr>
                      <w:rFonts w:ascii="Calibri" w:hAnsi="Calibri"/>
                    </w:rPr>
                  </w:pPr>
                </w:p>
              </w:tc>
              <w:tc>
                <w:tcPr>
                  <w:tcW w:w="469" w:type="dxa"/>
                  <w:vAlign w:val="center"/>
                </w:tcPr>
                <w:p w14:paraId="6852C994">
                  <w:pPr>
                    <w:pStyle w:val="86"/>
                  </w:pPr>
                  <w:r>
                    <w:t>北</w:t>
                  </w:r>
                </w:p>
              </w:tc>
              <w:tc>
                <w:tcPr>
                  <w:tcW w:w="643" w:type="dxa"/>
                  <w:vAlign w:val="center"/>
                </w:tcPr>
                <w:p w14:paraId="4B0C22B5">
                  <w:pPr>
                    <w:pStyle w:val="86"/>
                  </w:pPr>
                  <w:r>
                    <w:t xml:space="preserve">21.4 </w:t>
                  </w:r>
                </w:p>
              </w:tc>
              <w:tc>
                <w:tcPr>
                  <w:tcW w:w="906" w:type="dxa"/>
                  <w:vAlign w:val="center"/>
                </w:tcPr>
                <w:p w14:paraId="2B9C61D5">
                  <w:pPr>
                    <w:pStyle w:val="86"/>
                  </w:pPr>
                  <w:r>
                    <w:t xml:space="preserve">58.2 </w:t>
                  </w:r>
                </w:p>
              </w:tc>
              <w:tc>
                <w:tcPr>
                  <w:tcW w:w="618" w:type="dxa"/>
                  <w:vMerge w:val="continue"/>
                  <w:vAlign w:val="center"/>
                </w:tcPr>
                <w:p w14:paraId="2961E752">
                  <w:pPr>
                    <w:pStyle w:val="86"/>
                  </w:pPr>
                </w:p>
              </w:tc>
              <w:tc>
                <w:tcPr>
                  <w:tcW w:w="906" w:type="dxa"/>
                  <w:vMerge w:val="continue"/>
                  <w:vAlign w:val="center"/>
                </w:tcPr>
                <w:p w14:paraId="2BF3FE72">
                  <w:pPr>
                    <w:pStyle w:val="86"/>
                  </w:pPr>
                </w:p>
              </w:tc>
              <w:tc>
                <w:tcPr>
                  <w:tcW w:w="906" w:type="dxa"/>
                  <w:vAlign w:val="center"/>
                </w:tcPr>
                <w:p w14:paraId="4A752418">
                  <w:pPr>
                    <w:pStyle w:val="86"/>
                    <w:rPr>
                      <w:kern w:val="2"/>
                    </w:rPr>
                  </w:pPr>
                  <w:r>
                    <w:t xml:space="preserve">33.2 </w:t>
                  </w:r>
                </w:p>
              </w:tc>
              <w:tc>
                <w:tcPr>
                  <w:tcW w:w="527" w:type="dxa"/>
                  <w:vAlign w:val="center"/>
                </w:tcPr>
                <w:p w14:paraId="0AF68DE8">
                  <w:pPr>
                    <w:pStyle w:val="86"/>
                  </w:pPr>
                  <w:r>
                    <w:t>1</w:t>
                  </w:r>
                </w:p>
              </w:tc>
            </w:tr>
            <w:tr w14:paraId="08678BB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restart"/>
                  <w:vAlign w:val="center"/>
                </w:tcPr>
                <w:p w14:paraId="59614F6F">
                  <w:pPr>
                    <w:pStyle w:val="86"/>
                  </w:pPr>
                  <w:r>
                    <w:t>10</w:t>
                  </w:r>
                </w:p>
              </w:tc>
              <w:tc>
                <w:tcPr>
                  <w:tcW w:w="776" w:type="dxa"/>
                  <w:vMerge w:val="restart"/>
                  <w:vAlign w:val="center"/>
                </w:tcPr>
                <w:p w14:paraId="05314845">
                  <w:pPr>
                    <w:pStyle w:val="86"/>
                  </w:pPr>
                  <w:r>
                    <w:rPr>
                      <w:rFonts w:hint="eastAsia"/>
                    </w:rPr>
                    <w:t>生产车间</w:t>
                  </w:r>
                </w:p>
              </w:tc>
              <w:tc>
                <w:tcPr>
                  <w:tcW w:w="851" w:type="dxa"/>
                  <w:vMerge w:val="restart"/>
                  <w:vAlign w:val="center"/>
                </w:tcPr>
                <w:p w14:paraId="4EAE249B">
                  <w:pPr>
                    <w:pStyle w:val="86"/>
                  </w:pPr>
                  <w:r>
                    <w:rPr>
                      <w:rFonts w:hint="eastAsia"/>
                    </w:rPr>
                    <w:t>TA002风机</w:t>
                  </w:r>
                </w:p>
              </w:tc>
              <w:tc>
                <w:tcPr>
                  <w:tcW w:w="668" w:type="dxa"/>
                  <w:vMerge w:val="restart"/>
                  <w:vAlign w:val="center"/>
                </w:tcPr>
                <w:p w14:paraId="09BF283A">
                  <w:pPr>
                    <w:pStyle w:val="86"/>
                  </w:pPr>
                  <w:r>
                    <w:t>/</w:t>
                  </w:r>
                </w:p>
              </w:tc>
              <w:tc>
                <w:tcPr>
                  <w:tcW w:w="645" w:type="dxa"/>
                  <w:vMerge w:val="restart"/>
                  <w:vAlign w:val="center"/>
                </w:tcPr>
                <w:p w14:paraId="0576EB5A">
                  <w:pPr>
                    <w:pStyle w:val="86"/>
                  </w:pPr>
                  <w:r>
                    <w:t xml:space="preserve">1 </w:t>
                  </w:r>
                </w:p>
              </w:tc>
              <w:tc>
                <w:tcPr>
                  <w:tcW w:w="972" w:type="dxa"/>
                  <w:vMerge w:val="restart"/>
                  <w:vAlign w:val="center"/>
                </w:tcPr>
                <w:p w14:paraId="3E2F8A9A">
                  <w:pPr>
                    <w:pStyle w:val="86"/>
                  </w:pPr>
                  <w:r>
                    <w:t>85/1</w:t>
                  </w:r>
                </w:p>
              </w:tc>
              <w:tc>
                <w:tcPr>
                  <w:tcW w:w="470" w:type="dxa"/>
                  <w:vMerge w:val="restart"/>
                  <w:vAlign w:val="center"/>
                </w:tcPr>
                <w:p w14:paraId="40E5048C">
                  <w:pPr>
                    <w:pStyle w:val="86"/>
                  </w:pPr>
                  <w:r>
                    <w:t>/</w:t>
                  </w:r>
                </w:p>
              </w:tc>
              <w:tc>
                <w:tcPr>
                  <w:tcW w:w="729" w:type="dxa"/>
                  <w:vMerge w:val="restart"/>
                  <w:vAlign w:val="center"/>
                </w:tcPr>
                <w:p w14:paraId="2CEC3717">
                  <w:pPr>
                    <w:pStyle w:val="86"/>
                  </w:pPr>
                  <w:r>
                    <w:rPr>
                      <w:rFonts w:hint="eastAsia"/>
                    </w:rPr>
                    <w:t>基础减振、厂房隔声</w:t>
                  </w:r>
                </w:p>
              </w:tc>
              <w:tc>
                <w:tcPr>
                  <w:tcW w:w="469" w:type="dxa"/>
                  <w:vMerge w:val="restart"/>
                  <w:vAlign w:val="center"/>
                </w:tcPr>
                <w:p w14:paraId="7D0A4B16">
                  <w:pPr>
                    <w:pStyle w:val="86"/>
                  </w:pPr>
                  <w:r>
                    <w:t>57</w:t>
                  </w:r>
                </w:p>
              </w:tc>
              <w:tc>
                <w:tcPr>
                  <w:tcW w:w="469" w:type="dxa"/>
                  <w:vMerge w:val="restart"/>
                  <w:vAlign w:val="center"/>
                </w:tcPr>
                <w:p w14:paraId="0EEF941D">
                  <w:pPr>
                    <w:pStyle w:val="86"/>
                  </w:pPr>
                  <w:r>
                    <w:t>2</w:t>
                  </w:r>
                </w:p>
              </w:tc>
              <w:tc>
                <w:tcPr>
                  <w:tcW w:w="414" w:type="dxa"/>
                  <w:vMerge w:val="restart"/>
                  <w:vAlign w:val="center"/>
                </w:tcPr>
                <w:p w14:paraId="1811DF99">
                  <w:pPr>
                    <w:pStyle w:val="86"/>
                  </w:pPr>
                  <w:r>
                    <w:t>1</w:t>
                  </w:r>
                </w:p>
              </w:tc>
              <w:tc>
                <w:tcPr>
                  <w:tcW w:w="469" w:type="dxa"/>
                  <w:vAlign w:val="center"/>
                </w:tcPr>
                <w:p w14:paraId="00BBB9DE">
                  <w:pPr>
                    <w:pStyle w:val="86"/>
                    <w:rPr>
                      <w:kern w:val="2"/>
                    </w:rPr>
                  </w:pPr>
                  <w:r>
                    <w:t>东</w:t>
                  </w:r>
                </w:p>
              </w:tc>
              <w:tc>
                <w:tcPr>
                  <w:tcW w:w="643" w:type="dxa"/>
                  <w:vAlign w:val="center"/>
                </w:tcPr>
                <w:p w14:paraId="3CD61F7D">
                  <w:pPr>
                    <w:pStyle w:val="86"/>
                  </w:pPr>
                  <w:r>
                    <w:t xml:space="preserve">36.2 </w:t>
                  </w:r>
                </w:p>
              </w:tc>
              <w:tc>
                <w:tcPr>
                  <w:tcW w:w="906" w:type="dxa"/>
                  <w:vAlign w:val="center"/>
                </w:tcPr>
                <w:p w14:paraId="7D82CDD5">
                  <w:pPr>
                    <w:pStyle w:val="86"/>
                  </w:pPr>
                  <w:r>
                    <w:t xml:space="preserve">67.6 </w:t>
                  </w:r>
                </w:p>
              </w:tc>
              <w:tc>
                <w:tcPr>
                  <w:tcW w:w="618" w:type="dxa"/>
                  <w:vMerge w:val="restart"/>
                  <w:vAlign w:val="center"/>
                </w:tcPr>
                <w:p w14:paraId="1E1F5E5D">
                  <w:pPr>
                    <w:pStyle w:val="86"/>
                  </w:pPr>
                  <w:r>
                    <w:rPr>
                      <w:rFonts w:hint="eastAsia"/>
                    </w:rPr>
                    <w:t>持续运行</w:t>
                  </w:r>
                </w:p>
              </w:tc>
              <w:tc>
                <w:tcPr>
                  <w:tcW w:w="906" w:type="dxa"/>
                  <w:vMerge w:val="restart"/>
                  <w:vAlign w:val="center"/>
                </w:tcPr>
                <w:p w14:paraId="3473E489">
                  <w:pPr>
                    <w:pStyle w:val="86"/>
                  </w:pPr>
                  <w:r>
                    <w:t>25</w:t>
                  </w:r>
                </w:p>
              </w:tc>
              <w:tc>
                <w:tcPr>
                  <w:tcW w:w="906" w:type="dxa"/>
                  <w:vAlign w:val="center"/>
                </w:tcPr>
                <w:p w14:paraId="5D1331F0">
                  <w:pPr>
                    <w:pStyle w:val="86"/>
                    <w:rPr>
                      <w:kern w:val="2"/>
                    </w:rPr>
                  </w:pPr>
                  <w:r>
                    <w:t xml:space="preserve">42.6 </w:t>
                  </w:r>
                </w:p>
              </w:tc>
              <w:tc>
                <w:tcPr>
                  <w:tcW w:w="527" w:type="dxa"/>
                  <w:vAlign w:val="center"/>
                </w:tcPr>
                <w:p w14:paraId="446F99AE">
                  <w:pPr>
                    <w:pStyle w:val="86"/>
                  </w:pPr>
                  <w:r>
                    <w:t>1</w:t>
                  </w:r>
                </w:p>
              </w:tc>
            </w:tr>
            <w:tr w14:paraId="68EA72B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0767CDB7">
                  <w:pPr>
                    <w:pStyle w:val="86"/>
                    <w:rPr>
                      <w:rFonts w:ascii="Calibri" w:hAnsi="Calibri"/>
                    </w:rPr>
                  </w:pPr>
                </w:p>
              </w:tc>
              <w:tc>
                <w:tcPr>
                  <w:tcW w:w="776" w:type="dxa"/>
                  <w:vMerge w:val="continue"/>
                  <w:vAlign w:val="center"/>
                </w:tcPr>
                <w:p w14:paraId="344B9DFA">
                  <w:pPr>
                    <w:pStyle w:val="86"/>
                    <w:rPr>
                      <w:rFonts w:ascii="Calibri" w:hAnsi="Calibri"/>
                    </w:rPr>
                  </w:pPr>
                </w:p>
              </w:tc>
              <w:tc>
                <w:tcPr>
                  <w:tcW w:w="851" w:type="dxa"/>
                  <w:vMerge w:val="continue"/>
                  <w:vAlign w:val="center"/>
                </w:tcPr>
                <w:p w14:paraId="53F85803">
                  <w:pPr>
                    <w:pStyle w:val="86"/>
                    <w:rPr>
                      <w:rFonts w:ascii="Calibri" w:hAnsi="Calibri"/>
                    </w:rPr>
                  </w:pPr>
                </w:p>
              </w:tc>
              <w:tc>
                <w:tcPr>
                  <w:tcW w:w="668" w:type="dxa"/>
                  <w:vMerge w:val="continue"/>
                  <w:vAlign w:val="center"/>
                </w:tcPr>
                <w:p w14:paraId="79553CE9">
                  <w:pPr>
                    <w:pStyle w:val="86"/>
                    <w:rPr>
                      <w:rFonts w:ascii="Calibri" w:hAnsi="Calibri"/>
                    </w:rPr>
                  </w:pPr>
                </w:p>
              </w:tc>
              <w:tc>
                <w:tcPr>
                  <w:tcW w:w="645" w:type="dxa"/>
                  <w:vMerge w:val="continue"/>
                  <w:vAlign w:val="center"/>
                </w:tcPr>
                <w:p w14:paraId="560E9DF8">
                  <w:pPr>
                    <w:pStyle w:val="86"/>
                    <w:rPr>
                      <w:rFonts w:ascii="Calibri" w:hAnsi="Calibri"/>
                    </w:rPr>
                  </w:pPr>
                </w:p>
              </w:tc>
              <w:tc>
                <w:tcPr>
                  <w:tcW w:w="972" w:type="dxa"/>
                  <w:vMerge w:val="continue"/>
                  <w:vAlign w:val="center"/>
                </w:tcPr>
                <w:p w14:paraId="09CF1F85">
                  <w:pPr>
                    <w:pStyle w:val="86"/>
                    <w:rPr>
                      <w:rFonts w:ascii="Calibri" w:hAnsi="Calibri"/>
                    </w:rPr>
                  </w:pPr>
                </w:p>
              </w:tc>
              <w:tc>
                <w:tcPr>
                  <w:tcW w:w="470" w:type="dxa"/>
                  <w:vMerge w:val="continue"/>
                  <w:vAlign w:val="center"/>
                </w:tcPr>
                <w:p w14:paraId="69F8DE6C">
                  <w:pPr>
                    <w:pStyle w:val="86"/>
                    <w:rPr>
                      <w:rFonts w:ascii="Calibri" w:hAnsi="Calibri"/>
                    </w:rPr>
                  </w:pPr>
                </w:p>
              </w:tc>
              <w:tc>
                <w:tcPr>
                  <w:tcW w:w="729" w:type="dxa"/>
                  <w:vMerge w:val="continue"/>
                  <w:vAlign w:val="center"/>
                </w:tcPr>
                <w:p w14:paraId="0B79BC6A">
                  <w:pPr>
                    <w:pStyle w:val="86"/>
                    <w:rPr>
                      <w:rFonts w:ascii="Calibri" w:hAnsi="Calibri"/>
                    </w:rPr>
                  </w:pPr>
                </w:p>
              </w:tc>
              <w:tc>
                <w:tcPr>
                  <w:tcW w:w="469" w:type="dxa"/>
                  <w:vMerge w:val="continue"/>
                  <w:vAlign w:val="center"/>
                </w:tcPr>
                <w:p w14:paraId="583DE68E">
                  <w:pPr>
                    <w:pStyle w:val="86"/>
                    <w:rPr>
                      <w:rFonts w:ascii="Calibri" w:hAnsi="Calibri"/>
                    </w:rPr>
                  </w:pPr>
                </w:p>
              </w:tc>
              <w:tc>
                <w:tcPr>
                  <w:tcW w:w="469" w:type="dxa"/>
                  <w:vMerge w:val="continue"/>
                  <w:vAlign w:val="center"/>
                </w:tcPr>
                <w:p w14:paraId="59C2AA54">
                  <w:pPr>
                    <w:pStyle w:val="86"/>
                    <w:rPr>
                      <w:rFonts w:ascii="Calibri" w:hAnsi="Calibri"/>
                    </w:rPr>
                  </w:pPr>
                </w:p>
              </w:tc>
              <w:tc>
                <w:tcPr>
                  <w:tcW w:w="414" w:type="dxa"/>
                  <w:vMerge w:val="continue"/>
                  <w:vAlign w:val="center"/>
                </w:tcPr>
                <w:p w14:paraId="1C0D4311">
                  <w:pPr>
                    <w:pStyle w:val="86"/>
                    <w:rPr>
                      <w:rFonts w:ascii="Calibri" w:hAnsi="Calibri"/>
                    </w:rPr>
                  </w:pPr>
                </w:p>
              </w:tc>
              <w:tc>
                <w:tcPr>
                  <w:tcW w:w="469" w:type="dxa"/>
                  <w:vAlign w:val="center"/>
                </w:tcPr>
                <w:p w14:paraId="43D2A1E4">
                  <w:pPr>
                    <w:pStyle w:val="86"/>
                  </w:pPr>
                  <w:r>
                    <w:t>南</w:t>
                  </w:r>
                </w:p>
              </w:tc>
              <w:tc>
                <w:tcPr>
                  <w:tcW w:w="643" w:type="dxa"/>
                  <w:vAlign w:val="center"/>
                </w:tcPr>
                <w:p w14:paraId="029982F2">
                  <w:pPr>
                    <w:pStyle w:val="86"/>
                  </w:pPr>
                  <w:r>
                    <w:t xml:space="preserve">12.1 </w:t>
                  </w:r>
                </w:p>
              </w:tc>
              <w:tc>
                <w:tcPr>
                  <w:tcW w:w="906" w:type="dxa"/>
                  <w:vAlign w:val="center"/>
                </w:tcPr>
                <w:p w14:paraId="56412C98">
                  <w:pPr>
                    <w:pStyle w:val="86"/>
                  </w:pPr>
                  <w:r>
                    <w:t xml:space="preserve">67.9 </w:t>
                  </w:r>
                </w:p>
              </w:tc>
              <w:tc>
                <w:tcPr>
                  <w:tcW w:w="618" w:type="dxa"/>
                  <w:vMerge w:val="continue"/>
                  <w:vAlign w:val="center"/>
                </w:tcPr>
                <w:p w14:paraId="1D58A348">
                  <w:pPr>
                    <w:pStyle w:val="86"/>
                  </w:pPr>
                </w:p>
              </w:tc>
              <w:tc>
                <w:tcPr>
                  <w:tcW w:w="906" w:type="dxa"/>
                  <w:vMerge w:val="continue"/>
                  <w:vAlign w:val="center"/>
                </w:tcPr>
                <w:p w14:paraId="6C7CC663">
                  <w:pPr>
                    <w:pStyle w:val="86"/>
                  </w:pPr>
                </w:p>
              </w:tc>
              <w:tc>
                <w:tcPr>
                  <w:tcW w:w="906" w:type="dxa"/>
                  <w:vAlign w:val="center"/>
                </w:tcPr>
                <w:p w14:paraId="09D3BDE0">
                  <w:pPr>
                    <w:pStyle w:val="86"/>
                    <w:rPr>
                      <w:kern w:val="2"/>
                    </w:rPr>
                  </w:pPr>
                  <w:r>
                    <w:t xml:space="preserve">42.9 </w:t>
                  </w:r>
                </w:p>
              </w:tc>
              <w:tc>
                <w:tcPr>
                  <w:tcW w:w="527" w:type="dxa"/>
                  <w:vAlign w:val="center"/>
                </w:tcPr>
                <w:p w14:paraId="1B28023C">
                  <w:pPr>
                    <w:pStyle w:val="86"/>
                  </w:pPr>
                  <w:r>
                    <w:t>1</w:t>
                  </w:r>
                </w:p>
              </w:tc>
            </w:tr>
            <w:tr w14:paraId="5A7A57E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053EC14D">
                  <w:pPr>
                    <w:pStyle w:val="86"/>
                    <w:rPr>
                      <w:rFonts w:ascii="Calibri" w:hAnsi="Calibri"/>
                    </w:rPr>
                  </w:pPr>
                </w:p>
              </w:tc>
              <w:tc>
                <w:tcPr>
                  <w:tcW w:w="776" w:type="dxa"/>
                  <w:vMerge w:val="continue"/>
                  <w:vAlign w:val="center"/>
                </w:tcPr>
                <w:p w14:paraId="538A6802">
                  <w:pPr>
                    <w:pStyle w:val="86"/>
                    <w:rPr>
                      <w:rFonts w:ascii="Calibri" w:hAnsi="Calibri"/>
                    </w:rPr>
                  </w:pPr>
                </w:p>
              </w:tc>
              <w:tc>
                <w:tcPr>
                  <w:tcW w:w="851" w:type="dxa"/>
                  <w:vMerge w:val="continue"/>
                  <w:vAlign w:val="center"/>
                </w:tcPr>
                <w:p w14:paraId="7FC5080A">
                  <w:pPr>
                    <w:pStyle w:val="86"/>
                    <w:rPr>
                      <w:rFonts w:ascii="Calibri" w:hAnsi="Calibri"/>
                    </w:rPr>
                  </w:pPr>
                </w:p>
              </w:tc>
              <w:tc>
                <w:tcPr>
                  <w:tcW w:w="668" w:type="dxa"/>
                  <w:vMerge w:val="continue"/>
                  <w:vAlign w:val="center"/>
                </w:tcPr>
                <w:p w14:paraId="44D25660">
                  <w:pPr>
                    <w:pStyle w:val="86"/>
                    <w:rPr>
                      <w:rFonts w:ascii="Calibri" w:hAnsi="Calibri"/>
                    </w:rPr>
                  </w:pPr>
                </w:p>
              </w:tc>
              <w:tc>
                <w:tcPr>
                  <w:tcW w:w="645" w:type="dxa"/>
                  <w:vMerge w:val="continue"/>
                  <w:vAlign w:val="center"/>
                </w:tcPr>
                <w:p w14:paraId="54488CB2">
                  <w:pPr>
                    <w:pStyle w:val="86"/>
                    <w:rPr>
                      <w:rFonts w:ascii="Calibri" w:hAnsi="Calibri"/>
                    </w:rPr>
                  </w:pPr>
                </w:p>
              </w:tc>
              <w:tc>
                <w:tcPr>
                  <w:tcW w:w="972" w:type="dxa"/>
                  <w:vMerge w:val="continue"/>
                  <w:vAlign w:val="center"/>
                </w:tcPr>
                <w:p w14:paraId="7E4A711C">
                  <w:pPr>
                    <w:pStyle w:val="86"/>
                    <w:rPr>
                      <w:rFonts w:ascii="Calibri" w:hAnsi="Calibri"/>
                    </w:rPr>
                  </w:pPr>
                </w:p>
              </w:tc>
              <w:tc>
                <w:tcPr>
                  <w:tcW w:w="470" w:type="dxa"/>
                  <w:vMerge w:val="continue"/>
                  <w:vAlign w:val="center"/>
                </w:tcPr>
                <w:p w14:paraId="08E24752">
                  <w:pPr>
                    <w:pStyle w:val="86"/>
                    <w:rPr>
                      <w:rFonts w:ascii="Calibri" w:hAnsi="Calibri"/>
                    </w:rPr>
                  </w:pPr>
                </w:p>
              </w:tc>
              <w:tc>
                <w:tcPr>
                  <w:tcW w:w="729" w:type="dxa"/>
                  <w:vMerge w:val="continue"/>
                  <w:vAlign w:val="center"/>
                </w:tcPr>
                <w:p w14:paraId="6BD6C9E9">
                  <w:pPr>
                    <w:pStyle w:val="86"/>
                    <w:rPr>
                      <w:rFonts w:ascii="Calibri" w:hAnsi="Calibri"/>
                    </w:rPr>
                  </w:pPr>
                </w:p>
              </w:tc>
              <w:tc>
                <w:tcPr>
                  <w:tcW w:w="469" w:type="dxa"/>
                  <w:vMerge w:val="continue"/>
                  <w:vAlign w:val="center"/>
                </w:tcPr>
                <w:p w14:paraId="2A0CE788">
                  <w:pPr>
                    <w:pStyle w:val="86"/>
                    <w:rPr>
                      <w:rFonts w:ascii="Calibri" w:hAnsi="Calibri"/>
                    </w:rPr>
                  </w:pPr>
                </w:p>
              </w:tc>
              <w:tc>
                <w:tcPr>
                  <w:tcW w:w="469" w:type="dxa"/>
                  <w:vMerge w:val="continue"/>
                  <w:vAlign w:val="center"/>
                </w:tcPr>
                <w:p w14:paraId="4C1B17DC">
                  <w:pPr>
                    <w:pStyle w:val="86"/>
                    <w:rPr>
                      <w:rFonts w:ascii="Calibri" w:hAnsi="Calibri"/>
                    </w:rPr>
                  </w:pPr>
                </w:p>
              </w:tc>
              <w:tc>
                <w:tcPr>
                  <w:tcW w:w="414" w:type="dxa"/>
                  <w:vMerge w:val="continue"/>
                  <w:vAlign w:val="center"/>
                </w:tcPr>
                <w:p w14:paraId="466F2964">
                  <w:pPr>
                    <w:pStyle w:val="86"/>
                    <w:rPr>
                      <w:rFonts w:ascii="Calibri" w:hAnsi="Calibri"/>
                    </w:rPr>
                  </w:pPr>
                </w:p>
              </w:tc>
              <w:tc>
                <w:tcPr>
                  <w:tcW w:w="469" w:type="dxa"/>
                  <w:vAlign w:val="center"/>
                </w:tcPr>
                <w:p w14:paraId="3193AC55">
                  <w:pPr>
                    <w:pStyle w:val="86"/>
                  </w:pPr>
                  <w:r>
                    <w:t>西</w:t>
                  </w:r>
                </w:p>
              </w:tc>
              <w:tc>
                <w:tcPr>
                  <w:tcW w:w="643" w:type="dxa"/>
                  <w:vAlign w:val="center"/>
                </w:tcPr>
                <w:p w14:paraId="09470BE7">
                  <w:pPr>
                    <w:pStyle w:val="86"/>
                  </w:pPr>
                  <w:r>
                    <w:t xml:space="preserve">57.6 </w:t>
                  </w:r>
                </w:p>
              </w:tc>
              <w:tc>
                <w:tcPr>
                  <w:tcW w:w="906" w:type="dxa"/>
                  <w:vAlign w:val="center"/>
                </w:tcPr>
                <w:p w14:paraId="05A05A4A">
                  <w:pPr>
                    <w:pStyle w:val="86"/>
                  </w:pPr>
                  <w:r>
                    <w:t xml:space="preserve">67.3 </w:t>
                  </w:r>
                </w:p>
              </w:tc>
              <w:tc>
                <w:tcPr>
                  <w:tcW w:w="618" w:type="dxa"/>
                  <w:vMerge w:val="continue"/>
                  <w:vAlign w:val="center"/>
                </w:tcPr>
                <w:p w14:paraId="73B4734A">
                  <w:pPr>
                    <w:pStyle w:val="86"/>
                  </w:pPr>
                </w:p>
              </w:tc>
              <w:tc>
                <w:tcPr>
                  <w:tcW w:w="906" w:type="dxa"/>
                  <w:vMerge w:val="continue"/>
                  <w:vAlign w:val="center"/>
                </w:tcPr>
                <w:p w14:paraId="6CB7D6BD">
                  <w:pPr>
                    <w:pStyle w:val="86"/>
                  </w:pPr>
                </w:p>
              </w:tc>
              <w:tc>
                <w:tcPr>
                  <w:tcW w:w="906" w:type="dxa"/>
                  <w:vAlign w:val="center"/>
                </w:tcPr>
                <w:p w14:paraId="63B61069">
                  <w:pPr>
                    <w:pStyle w:val="86"/>
                    <w:rPr>
                      <w:kern w:val="2"/>
                    </w:rPr>
                  </w:pPr>
                  <w:r>
                    <w:t xml:space="preserve">42.3 </w:t>
                  </w:r>
                </w:p>
              </w:tc>
              <w:tc>
                <w:tcPr>
                  <w:tcW w:w="527" w:type="dxa"/>
                  <w:vAlign w:val="center"/>
                </w:tcPr>
                <w:p w14:paraId="5AA080CE">
                  <w:pPr>
                    <w:pStyle w:val="86"/>
                  </w:pPr>
                  <w:r>
                    <w:t>1</w:t>
                  </w:r>
                </w:p>
              </w:tc>
            </w:tr>
            <w:tr w14:paraId="40586F5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dxa"/>
                  <w:vMerge w:val="continue"/>
                  <w:vAlign w:val="center"/>
                </w:tcPr>
                <w:p w14:paraId="228BC098">
                  <w:pPr>
                    <w:pStyle w:val="86"/>
                    <w:rPr>
                      <w:rFonts w:ascii="Calibri" w:hAnsi="Calibri"/>
                    </w:rPr>
                  </w:pPr>
                </w:p>
              </w:tc>
              <w:tc>
                <w:tcPr>
                  <w:tcW w:w="776" w:type="dxa"/>
                  <w:vMerge w:val="continue"/>
                  <w:vAlign w:val="center"/>
                </w:tcPr>
                <w:p w14:paraId="6668421C">
                  <w:pPr>
                    <w:pStyle w:val="86"/>
                    <w:rPr>
                      <w:rFonts w:ascii="Calibri" w:hAnsi="Calibri"/>
                    </w:rPr>
                  </w:pPr>
                </w:p>
              </w:tc>
              <w:tc>
                <w:tcPr>
                  <w:tcW w:w="851" w:type="dxa"/>
                  <w:vMerge w:val="continue"/>
                  <w:vAlign w:val="center"/>
                </w:tcPr>
                <w:p w14:paraId="48BD2388">
                  <w:pPr>
                    <w:pStyle w:val="86"/>
                    <w:rPr>
                      <w:rFonts w:ascii="Calibri" w:hAnsi="Calibri"/>
                    </w:rPr>
                  </w:pPr>
                </w:p>
              </w:tc>
              <w:tc>
                <w:tcPr>
                  <w:tcW w:w="668" w:type="dxa"/>
                  <w:vMerge w:val="continue"/>
                  <w:vAlign w:val="center"/>
                </w:tcPr>
                <w:p w14:paraId="1B08FFCF">
                  <w:pPr>
                    <w:pStyle w:val="86"/>
                    <w:rPr>
                      <w:rFonts w:ascii="Calibri" w:hAnsi="Calibri"/>
                    </w:rPr>
                  </w:pPr>
                </w:p>
              </w:tc>
              <w:tc>
                <w:tcPr>
                  <w:tcW w:w="645" w:type="dxa"/>
                  <w:vMerge w:val="continue"/>
                  <w:vAlign w:val="center"/>
                </w:tcPr>
                <w:p w14:paraId="434A7527">
                  <w:pPr>
                    <w:pStyle w:val="86"/>
                    <w:rPr>
                      <w:rFonts w:ascii="Calibri" w:hAnsi="Calibri"/>
                    </w:rPr>
                  </w:pPr>
                </w:p>
              </w:tc>
              <w:tc>
                <w:tcPr>
                  <w:tcW w:w="972" w:type="dxa"/>
                  <w:vMerge w:val="continue"/>
                  <w:vAlign w:val="center"/>
                </w:tcPr>
                <w:p w14:paraId="1A7D218D">
                  <w:pPr>
                    <w:pStyle w:val="86"/>
                    <w:rPr>
                      <w:rFonts w:ascii="Calibri" w:hAnsi="Calibri"/>
                    </w:rPr>
                  </w:pPr>
                </w:p>
              </w:tc>
              <w:tc>
                <w:tcPr>
                  <w:tcW w:w="470" w:type="dxa"/>
                  <w:vMerge w:val="continue"/>
                  <w:vAlign w:val="center"/>
                </w:tcPr>
                <w:p w14:paraId="4D7CE388">
                  <w:pPr>
                    <w:pStyle w:val="86"/>
                    <w:rPr>
                      <w:rFonts w:ascii="Calibri" w:hAnsi="Calibri"/>
                    </w:rPr>
                  </w:pPr>
                </w:p>
              </w:tc>
              <w:tc>
                <w:tcPr>
                  <w:tcW w:w="729" w:type="dxa"/>
                  <w:vMerge w:val="continue"/>
                  <w:vAlign w:val="center"/>
                </w:tcPr>
                <w:p w14:paraId="4B31B2EB">
                  <w:pPr>
                    <w:pStyle w:val="86"/>
                    <w:rPr>
                      <w:rFonts w:ascii="Calibri" w:hAnsi="Calibri"/>
                    </w:rPr>
                  </w:pPr>
                </w:p>
              </w:tc>
              <w:tc>
                <w:tcPr>
                  <w:tcW w:w="469" w:type="dxa"/>
                  <w:vMerge w:val="continue"/>
                  <w:vAlign w:val="center"/>
                </w:tcPr>
                <w:p w14:paraId="4CA9CB65">
                  <w:pPr>
                    <w:pStyle w:val="86"/>
                    <w:rPr>
                      <w:rFonts w:ascii="Calibri" w:hAnsi="Calibri"/>
                    </w:rPr>
                  </w:pPr>
                </w:p>
              </w:tc>
              <w:tc>
                <w:tcPr>
                  <w:tcW w:w="469" w:type="dxa"/>
                  <w:vMerge w:val="continue"/>
                  <w:vAlign w:val="center"/>
                </w:tcPr>
                <w:p w14:paraId="28ECBC5B">
                  <w:pPr>
                    <w:pStyle w:val="86"/>
                    <w:rPr>
                      <w:rFonts w:ascii="Calibri" w:hAnsi="Calibri"/>
                    </w:rPr>
                  </w:pPr>
                </w:p>
              </w:tc>
              <w:tc>
                <w:tcPr>
                  <w:tcW w:w="414" w:type="dxa"/>
                  <w:vMerge w:val="continue"/>
                  <w:vAlign w:val="center"/>
                </w:tcPr>
                <w:p w14:paraId="1D02C0A8">
                  <w:pPr>
                    <w:pStyle w:val="86"/>
                    <w:rPr>
                      <w:rFonts w:ascii="Calibri" w:hAnsi="Calibri"/>
                    </w:rPr>
                  </w:pPr>
                </w:p>
              </w:tc>
              <w:tc>
                <w:tcPr>
                  <w:tcW w:w="469" w:type="dxa"/>
                  <w:vAlign w:val="center"/>
                </w:tcPr>
                <w:p w14:paraId="0DA5BF75">
                  <w:pPr>
                    <w:pStyle w:val="86"/>
                  </w:pPr>
                  <w:r>
                    <w:t>北</w:t>
                  </w:r>
                </w:p>
              </w:tc>
              <w:tc>
                <w:tcPr>
                  <w:tcW w:w="643" w:type="dxa"/>
                  <w:vAlign w:val="center"/>
                </w:tcPr>
                <w:p w14:paraId="2AAE977D">
                  <w:pPr>
                    <w:pStyle w:val="86"/>
                  </w:pPr>
                  <w:r>
                    <w:t xml:space="preserve">28.0 </w:t>
                  </w:r>
                </w:p>
              </w:tc>
              <w:tc>
                <w:tcPr>
                  <w:tcW w:w="906" w:type="dxa"/>
                  <w:vAlign w:val="center"/>
                </w:tcPr>
                <w:p w14:paraId="06F661CB">
                  <w:pPr>
                    <w:pStyle w:val="86"/>
                  </w:pPr>
                  <w:r>
                    <w:t xml:space="preserve">67.8 </w:t>
                  </w:r>
                </w:p>
              </w:tc>
              <w:tc>
                <w:tcPr>
                  <w:tcW w:w="618" w:type="dxa"/>
                  <w:vMerge w:val="continue"/>
                  <w:vAlign w:val="center"/>
                </w:tcPr>
                <w:p w14:paraId="351251E2">
                  <w:pPr>
                    <w:pStyle w:val="86"/>
                  </w:pPr>
                </w:p>
              </w:tc>
              <w:tc>
                <w:tcPr>
                  <w:tcW w:w="906" w:type="dxa"/>
                  <w:vMerge w:val="continue"/>
                  <w:vAlign w:val="center"/>
                </w:tcPr>
                <w:p w14:paraId="1ADC1A3A">
                  <w:pPr>
                    <w:pStyle w:val="86"/>
                  </w:pPr>
                </w:p>
              </w:tc>
              <w:tc>
                <w:tcPr>
                  <w:tcW w:w="906" w:type="dxa"/>
                  <w:vAlign w:val="center"/>
                </w:tcPr>
                <w:p w14:paraId="08E6F5B8">
                  <w:pPr>
                    <w:pStyle w:val="86"/>
                    <w:rPr>
                      <w:kern w:val="2"/>
                    </w:rPr>
                  </w:pPr>
                  <w:r>
                    <w:t xml:space="preserve">42.8 </w:t>
                  </w:r>
                </w:p>
              </w:tc>
              <w:tc>
                <w:tcPr>
                  <w:tcW w:w="527" w:type="dxa"/>
                  <w:vAlign w:val="center"/>
                </w:tcPr>
                <w:p w14:paraId="1F6D54BC">
                  <w:pPr>
                    <w:pStyle w:val="86"/>
                  </w:pPr>
                  <w:r>
                    <w:t>1</w:t>
                  </w:r>
                </w:p>
              </w:tc>
            </w:tr>
          </w:tbl>
          <w:p w14:paraId="44240594">
            <w:pPr>
              <w:pStyle w:val="28"/>
              <w:ind w:firstLine="480"/>
              <w:rPr>
                <w:lang w:val="zh-CN"/>
              </w:rPr>
            </w:pPr>
          </w:p>
          <w:p w14:paraId="34F6DD1A">
            <w:pPr>
              <w:pStyle w:val="28"/>
              <w:ind w:firstLine="480"/>
              <w:rPr>
                <w:lang w:val="zh-CN"/>
              </w:rPr>
            </w:pPr>
          </w:p>
          <w:p w14:paraId="509C78DA">
            <w:pPr>
              <w:pStyle w:val="28"/>
              <w:ind w:firstLine="480"/>
              <w:rPr>
                <w:lang w:val="zh-CN"/>
              </w:rPr>
            </w:pPr>
          </w:p>
          <w:p w14:paraId="697C27E2">
            <w:pPr>
              <w:pStyle w:val="28"/>
              <w:ind w:firstLine="480"/>
              <w:rPr>
                <w:lang w:val="zh-CN"/>
              </w:rPr>
            </w:pPr>
          </w:p>
          <w:p w14:paraId="03EB8BED">
            <w:pPr>
              <w:pStyle w:val="28"/>
              <w:ind w:firstLine="480"/>
              <w:rPr>
                <w:lang w:val="zh-CN"/>
              </w:rPr>
            </w:pPr>
          </w:p>
          <w:p w14:paraId="52C7726B">
            <w:pPr>
              <w:pStyle w:val="28"/>
              <w:ind w:firstLine="480"/>
              <w:rPr>
                <w:lang w:val="zh-CN"/>
              </w:rPr>
            </w:pPr>
          </w:p>
          <w:p w14:paraId="0AACAB84">
            <w:pPr>
              <w:pStyle w:val="28"/>
              <w:ind w:firstLine="480"/>
              <w:rPr>
                <w:lang w:val="zh-CN"/>
              </w:rPr>
            </w:pPr>
          </w:p>
          <w:p w14:paraId="39A3F822">
            <w:pPr>
              <w:pStyle w:val="28"/>
              <w:ind w:firstLine="480"/>
              <w:rPr>
                <w:lang w:val="zh-CN"/>
              </w:rPr>
            </w:pPr>
          </w:p>
          <w:p w14:paraId="70F65B82">
            <w:pPr>
              <w:pStyle w:val="28"/>
              <w:ind w:firstLine="480"/>
              <w:rPr>
                <w:rFonts w:hint="eastAsia"/>
                <w:lang w:val="zh-CN"/>
              </w:rPr>
            </w:pPr>
          </w:p>
          <w:p w14:paraId="1DD525E1">
            <w:pPr>
              <w:pStyle w:val="28"/>
              <w:ind w:firstLine="480"/>
              <w:rPr>
                <w:lang w:val="zh-CN"/>
              </w:rPr>
            </w:pPr>
          </w:p>
          <w:p w14:paraId="151AE4AF">
            <w:pPr>
              <w:pStyle w:val="28"/>
              <w:ind w:firstLine="480"/>
              <w:rPr>
                <w:lang w:val="zh-CN"/>
              </w:rPr>
            </w:pPr>
          </w:p>
          <w:p w14:paraId="43C3CD0A">
            <w:pPr>
              <w:pStyle w:val="28"/>
              <w:ind w:firstLine="480"/>
              <w:rPr>
                <w:lang w:val="zh-CN"/>
              </w:rPr>
            </w:pPr>
          </w:p>
        </w:tc>
      </w:tr>
    </w:tbl>
    <w:p w14:paraId="1B2A86F3">
      <w:pPr>
        <w:pStyle w:val="15"/>
        <w:outlineLvl w:val="0"/>
        <w:rPr>
          <w:rFonts w:ascii="Times New Roman" w:hAnsi="Times New Roman"/>
          <w:color w:val="000000" w:themeColor="text1"/>
          <w:kern w:val="2"/>
          <w:sz w:val="21"/>
          <w:szCs w:val="21"/>
          <w14:textFill>
            <w14:solidFill>
              <w14:schemeClr w14:val="tx1"/>
            </w14:solidFill>
          </w14:textFill>
        </w:rPr>
      </w:pPr>
    </w:p>
    <w:p w14:paraId="0C9720ED">
      <w:pPr>
        <w:pStyle w:val="15"/>
        <w:outlineLvl w:val="0"/>
        <w:rPr>
          <w:rFonts w:ascii="Times New Roman" w:hAnsi="Times New Roman"/>
          <w:color w:val="000000" w:themeColor="text1"/>
          <w:kern w:val="2"/>
          <w:sz w:val="21"/>
          <w:szCs w:val="21"/>
          <w14:textFill>
            <w14:solidFill>
              <w14:schemeClr w14:val="tx1"/>
            </w14:solidFill>
          </w14:textFill>
        </w:rPr>
        <w:sectPr>
          <w:pgSz w:w="16840" w:h="11907" w:orient="landscape"/>
          <w:pgMar w:top="1531" w:right="1701" w:bottom="1531" w:left="1985" w:header="851" w:footer="851" w:gutter="0"/>
          <w:cols w:space="720" w:num="1"/>
          <w:docGrid w:linePitch="312" w:charSpace="0"/>
        </w:sectPr>
      </w:pPr>
    </w:p>
    <w:tbl>
      <w:tblPr>
        <w:tblStyle w:val="21"/>
        <w:tblW w:w="95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775"/>
      </w:tblGrid>
      <w:tr w14:paraId="209C8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5B66E3A6">
            <w:pPr>
              <w:pStyle w:val="15"/>
              <w:spacing w:before="0" w:beforeAutospacing="0" w:after="0" w:afterAutospacing="0"/>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运营期环境影响和保护措施</w:t>
            </w:r>
          </w:p>
        </w:tc>
        <w:tc>
          <w:tcPr>
            <w:tcW w:w="8775" w:type="dxa"/>
            <w:tcBorders>
              <w:tl2br w:val="nil"/>
              <w:tr2bl w:val="nil"/>
            </w:tcBorders>
          </w:tcPr>
          <w:p w14:paraId="5DC63420">
            <w:pPr>
              <w:pStyle w:val="28"/>
              <w:ind w:firstLine="482"/>
              <w:rPr>
                <w:b/>
                <w:bCs/>
              </w:rPr>
            </w:pPr>
            <w:r>
              <w:rPr>
                <w:rFonts w:hint="eastAsia"/>
                <w:b/>
                <w:bCs/>
              </w:rPr>
              <w:t>2、预测计算</w:t>
            </w:r>
          </w:p>
          <w:p w14:paraId="17CA9E4C">
            <w:pPr>
              <w:pStyle w:val="28"/>
              <w:ind w:firstLine="480"/>
            </w:pPr>
            <w:r>
              <w:rPr>
                <w:rFonts w:hint="eastAsia" w:ascii="Cambria Math" w:hAnsi="Cambria Math" w:cs="Cambria Math"/>
              </w:rPr>
              <w:t>①</w:t>
            </w:r>
            <w:r>
              <w:t>高噪声源衰减分析方法</w:t>
            </w:r>
          </w:p>
          <w:p w14:paraId="532787F3">
            <w:pPr>
              <w:pStyle w:val="28"/>
              <w:ind w:firstLine="480"/>
            </w:pPr>
            <w:r>
              <w:t>设备声源传播到受声点的距离为，厂房高度为，厂房的长度为，对于靠近墙面中心为距离的受声点声压级的计算（仅考虑距离衰减）：</w:t>
            </w:r>
          </w:p>
          <w:p w14:paraId="2E9753EA">
            <w:pPr>
              <w:pStyle w:val="28"/>
              <w:ind w:firstLine="480"/>
            </w:pPr>
            <w:r>
              <w:t>当r≤a/π，噪声传播途径中的声级值与距离无关，基本上没有明显衰减；</w:t>
            </w:r>
          </w:p>
          <w:p w14:paraId="7E7AFB4A">
            <w:pPr>
              <w:pStyle w:val="28"/>
              <w:ind w:firstLine="480"/>
            </w:pPr>
            <w:r>
              <w:t>当a/π≤r≤b/π时，声源面可近似退化为线源，声压级计算公式为：</w:t>
            </w:r>
          </w:p>
          <w:p w14:paraId="4F074A6E">
            <w:pPr>
              <w:pStyle w:val="28"/>
              <w:ind w:firstLine="480"/>
              <w:jc w:val="center"/>
              <w:rPr>
                <w:bCs/>
              </w:rPr>
            </w:pPr>
            <w:r>
              <w:rPr>
                <w:bCs/>
              </w:rPr>
              <w:drawing>
                <wp:inline distT="0" distB="0" distL="0" distR="0">
                  <wp:extent cx="1219200" cy="228600"/>
                  <wp:effectExtent l="0" t="0" r="0" b="0"/>
                  <wp:docPr id="431985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8581" name="图片 24"/>
                          <pic:cNvPicPr>
                            <a:picLocks noChangeAspect="1" noChangeArrowheads="1"/>
                          </pic:cNvPicPr>
                        </pic:nvPicPr>
                        <pic:blipFill>
                          <a:blip r:embed="rId24"/>
                          <a:srcRect/>
                          <a:stretch>
                            <a:fillRect/>
                          </a:stretch>
                        </pic:blipFill>
                        <pic:spPr>
                          <a:xfrm>
                            <a:off x="0" y="0"/>
                            <a:ext cx="1219200" cy="228600"/>
                          </a:xfrm>
                          <a:prstGeom prst="rect">
                            <a:avLst/>
                          </a:prstGeom>
                          <a:noFill/>
                          <a:ln>
                            <a:noFill/>
                          </a:ln>
                        </pic:spPr>
                      </pic:pic>
                    </a:graphicData>
                  </a:graphic>
                </wp:inline>
              </w:drawing>
            </w:r>
          </w:p>
          <w:p w14:paraId="65BF443C">
            <w:pPr>
              <w:pStyle w:val="28"/>
              <w:ind w:firstLine="480"/>
            </w:pPr>
            <w:r>
              <w:t>当r＞b/π时，可近似认为声源退化为一个点源，计算公式为：</w:t>
            </w:r>
          </w:p>
          <w:p w14:paraId="75A9AFAC">
            <w:pPr>
              <w:pStyle w:val="28"/>
              <w:ind w:firstLine="480"/>
              <w:jc w:val="center"/>
              <w:rPr>
                <w:bCs/>
              </w:rPr>
            </w:pPr>
            <w:r>
              <w:rPr>
                <w:bCs/>
              </w:rPr>
              <w:drawing>
                <wp:inline distT="0" distB="0" distL="0" distR="0">
                  <wp:extent cx="1394460" cy="228600"/>
                  <wp:effectExtent l="0" t="0" r="0" b="0"/>
                  <wp:docPr id="7838468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46870" name="图片 23"/>
                          <pic:cNvPicPr>
                            <a:picLocks noChangeAspect="1" noChangeArrowheads="1"/>
                          </pic:cNvPicPr>
                        </pic:nvPicPr>
                        <pic:blipFill>
                          <a:blip r:embed="rId25"/>
                          <a:srcRect/>
                          <a:stretch>
                            <a:fillRect/>
                          </a:stretch>
                        </pic:blipFill>
                        <pic:spPr>
                          <a:xfrm>
                            <a:off x="0" y="0"/>
                            <a:ext cx="1394460" cy="228600"/>
                          </a:xfrm>
                          <a:prstGeom prst="rect">
                            <a:avLst/>
                          </a:prstGeom>
                          <a:noFill/>
                          <a:ln>
                            <a:noFill/>
                          </a:ln>
                        </pic:spPr>
                      </pic:pic>
                    </a:graphicData>
                  </a:graphic>
                </wp:inline>
              </w:drawing>
            </w:r>
          </w:p>
          <w:p w14:paraId="09C55FAF">
            <w:pPr>
              <w:pStyle w:val="28"/>
              <w:ind w:firstLine="480"/>
            </w:pPr>
            <w:r>
              <w:t>式中：</w:t>
            </w:r>
            <w:r>
              <w:drawing>
                <wp:inline distT="0" distB="0" distL="0" distR="0">
                  <wp:extent cx="441960" cy="281940"/>
                  <wp:effectExtent l="0" t="0" r="0" b="7620"/>
                  <wp:docPr id="49584389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3895" name="图片 22"/>
                          <pic:cNvPicPr>
                            <a:picLocks noChangeAspect="1" noChangeArrowheads="1"/>
                          </pic:cNvPicPr>
                        </pic:nvPicPr>
                        <pic:blipFill>
                          <a:blip r:embed="rId26"/>
                          <a:srcRect/>
                          <a:stretch>
                            <a:fillRect/>
                          </a:stretch>
                        </pic:blipFill>
                        <pic:spPr>
                          <a:xfrm>
                            <a:off x="0" y="0"/>
                            <a:ext cx="441960" cy="281940"/>
                          </a:xfrm>
                          <a:prstGeom prst="rect">
                            <a:avLst/>
                          </a:prstGeom>
                          <a:noFill/>
                          <a:ln>
                            <a:noFill/>
                          </a:ln>
                        </pic:spPr>
                      </pic:pic>
                    </a:graphicData>
                  </a:graphic>
                </wp:inline>
              </w:drawing>
            </w:r>
            <w:r>
              <w:t>—距噪声源距离为处声级值，[dB(A)]；</w:t>
            </w:r>
          </w:p>
          <w:p w14:paraId="73F47C56">
            <w:pPr>
              <w:pStyle w:val="28"/>
              <w:ind w:firstLine="480"/>
            </w:pPr>
            <w:r>
              <w:drawing>
                <wp:inline distT="0" distB="0" distL="0" distR="0">
                  <wp:extent cx="906780" cy="281940"/>
                  <wp:effectExtent l="0" t="0" r="7620" b="7620"/>
                  <wp:docPr id="148178938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89388" name="图片 21"/>
                          <pic:cNvPicPr>
                            <a:picLocks noChangeAspect="1" noChangeArrowheads="1"/>
                          </pic:cNvPicPr>
                        </pic:nvPicPr>
                        <pic:blipFill>
                          <a:blip r:embed="rId27"/>
                          <a:srcRect/>
                          <a:stretch>
                            <a:fillRect/>
                          </a:stretch>
                        </pic:blipFill>
                        <pic:spPr>
                          <a:xfrm>
                            <a:off x="0" y="0"/>
                            <a:ext cx="906780" cy="281940"/>
                          </a:xfrm>
                          <a:prstGeom prst="rect">
                            <a:avLst/>
                          </a:prstGeom>
                          <a:noFill/>
                          <a:ln>
                            <a:noFill/>
                          </a:ln>
                        </pic:spPr>
                      </pic:pic>
                    </a:graphicData>
                  </a:graphic>
                </wp:inline>
              </w:drawing>
            </w:r>
            <w:r>
              <w:t>—距噪声源距离为处声级值，[dB(A)]；</w:t>
            </w:r>
          </w:p>
          <w:p w14:paraId="0552DF30">
            <w:pPr>
              <w:pStyle w:val="28"/>
              <w:ind w:firstLine="480"/>
            </w:pPr>
            <w:r>
              <w:drawing>
                <wp:inline distT="0" distB="0" distL="0" distR="0">
                  <wp:extent cx="830580" cy="281940"/>
                  <wp:effectExtent l="0" t="0" r="7620" b="7620"/>
                  <wp:docPr id="330330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3008" name="图片 20"/>
                          <pic:cNvPicPr>
                            <a:picLocks noChangeAspect="1" noChangeArrowheads="1"/>
                          </pic:cNvPicPr>
                        </pic:nvPicPr>
                        <pic:blipFill>
                          <a:blip r:embed="rId28"/>
                          <a:srcRect/>
                          <a:stretch>
                            <a:fillRect/>
                          </a:stretch>
                        </pic:blipFill>
                        <pic:spPr>
                          <a:xfrm>
                            <a:off x="0" y="0"/>
                            <a:ext cx="830580" cy="281940"/>
                          </a:xfrm>
                          <a:prstGeom prst="rect">
                            <a:avLst/>
                          </a:prstGeom>
                          <a:noFill/>
                          <a:ln>
                            <a:noFill/>
                          </a:ln>
                        </pic:spPr>
                      </pic:pic>
                    </a:graphicData>
                  </a:graphic>
                </wp:inline>
              </w:drawing>
            </w:r>
            <w:r>
              <w:t>—关心点距噪声源距离，m；</w:t>
            </w:r>
          </w:p>
          <w:p w14:paraId="5748F64C">
            <w:pPr>
              <w:pStyle w:val="28"/>
              <w:ind w:firstLine="480"/>
            </w:pPr>
            <w:r>
              <w:drawing>
                <wp:inline distT="0" distB="0" distL="0" distR="0">
                  <wp:extent cx="891540" cy="281940"/>
                  <wp:effectExtent l="0" t="0" r="7620" b="7620"/>
                  <wp:docPr id="13450826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82608" name="图片 19"/>
                          <pic:cNvPicPr>
                            <a:picLocks noChangeAspect="1" noChangeArrowheads="1"/>
                          </pic:cNvPicPr>
                        </pic:nvPicPr>
                        <pic:blipFill>
                          <a:blip r:embed="rId29"/>
                          <a:srcRect/>
                          <a:stretch>
                            <a:fillRect/>
                          </a:stretch>
                        </pic:blipFill>
                        <pic:spPr>
                          <a:xfrm>
                            <a:off x="0" y="0"/>
                            <a:ext cx="891540" cy="281940"/>
                          </a:xfrm>
                          <a:prstGeom prst="rect">
                            <a:avLst/>
                          </a:prstGeom>
                          <a:noFill/>
                          <a:ln>
                            <a:noFill/>
                          </a:ln>
                        </pic:spPr>
                      </pic:pic>
                    </a:graphicData>
                  </a:graphic>
                </wp:inline>
              </w:drawing>
            </w:r>
            <w:r>
              <w:t>—距噪声源距离，取1m。</w:t>
            </w:r>
          </w:p>
          <w:p w14:paraId="251DB4DA">
            <w:pPr>
              <w:pStyle w:val="28"/>
              <w:ind w:firstLine="480"/>
            </w:pPr>
            <w:r>
              <w:t>预测时，根据判定结果</w:t>
            </w:r>
            <w:r>
              <w:rPr>
                <w:rFonts w:hint="eastAsia"/>
              </w:rPr>
              <w:t>，采</w:t>
            </w:r>
            <w:r>
              <w:t>取合适公式进行预测。</w:t>
            </w:r>
          </w:p>
          <w:p w14:paraId="7FAFD09B">
            <w:pPr>
              <w:pStyle w:val="28"/>
              <w:ind w:firstLine="480"/>
            </w:pPr>
            <w:r>
              <w:rPr>
                <w:rFonts w:hint="eastAsia" w:ascii="Cambria Math" w:hAnsi="Cambria Math" w:cs="Cambria Math"/>
              </w:rPr>
              <w:t>②</w:t>
            </w:r>
            <w:r>
              <w:t>室内声源等效室外声源声功率计算</w:t>
            </w:r>
          </w:p>
          <w:p w14:paraId="16E2BA1B">
            <w:pPr>
              <w:pStyle w:val="28"/>
              <w:ind w:firstLine="480"/>
            </w:pPr>
            <w: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r>
              <w:rPr>
                <w:rFonts w:hint="eastAsia"/>
              </w:rPr>
              <w:t>：</w:t>
            </w:r>
          </w:p>
          <w:p w14:paraId="130A5196">
            <w:pPr>
              <w:pStyle w:val="28"/>
              <w:ind w:firstLine="480"/>
              <w:jc w:val="center"/>
            </w:pPr>
            <w:r>
              <w:t>Lp2=Lp1-(TL+6)</w:t>
            </w:r>
          </w:p>
          <w:p w14:paraId="0DE8AEAD">
            <w:pPr>
              <w:pStyle w:val="28"/>
              <w:ind w:firstLine="480"/>
            </w:pPr>
            <w:r>
              <w:t>式中</w:t>
            </w:r>
            <w:r>
              <w:rPr>
                <w:rFonts w:hint="eastAsia"/>
              </w:rPr>
              <w:t>：</w:t>
            </w:r>
            <w:r>
              <w:t>Lp1—靠近开口处（或窗户）室内某倍频带的声压级或A声级，dB；</w:t>
            </w:r>
          </w:p>
          <w:p w14:paraId="3281EBC1">
            <w:pPr>
              <w:pStyle w:val="28"/>
              <w:ind w:firstLine="1200" w:firstLineChars="500"/>
            </w:pPr>
            <w:r>
              <w:t>Lp2—靠近开口处（或窗户）室外某倍频带的声压级或A声级，dB；</w:t>
            </w:r>
          </w:p>
          <w:p w14:paraId="3D3E1AD6">
            <w:pPr>
              <w:pStyle w:val="28"/>
              <w:ind w:firstLine="1200" w:firstLineChars="500"/>
            </w:pPr>
            <w:r>
              <w:t>TL—隔墙</w:t>
            </w:r>
            <w:r>
              <w:rPr>
                <w:rFonts w:hint="eastAsia"/>
              </w:rPr>
              <w:t>（</w:t>
            </w:r>
            <w:r>
              <w:t>或窗户</w:t>
            </w:r>
            <w:r>
              <w:rPr>
                <w:rFonts w:hint="eastAsia"/>
              </w:rPr>
              <w:t>）</w:t>
            </w:r>
            <w:r>
              <w:t>倍频带或A声级的隔声量，dB。</w:t>
            </w:r>
          </w:p>
          <w:p w14:paraId="129867C6">
            <w:pPr>
              <w:pStyle w:val="28"/>
              <w:ind w:firstLine="480"/>
            </w:pPr>
            <w:r>
              <w:rPr>
                <w:rFonts w:hint="eastAsia" w:ascii="Cambria Math" w:hAnsi="Cambria Math" w:cs="Cambria Math"/>
              </w:rPr>
              <w:t>③</w:t>
            </w:r>
            <w:r>
              <w:t>噪声源叠加影响分析方法</w:t>
            </w:r>
          </w:p>
          <w:p w14:paraId="7BD1DD36">
            <w:pPr>
              <w:pStyle w:val="92"/>
            </w:pPr>
            <w:r>
              <w:drawing>
                <wp:inline distT="0" distB="0" distL="0" distR="0">
                  <wp:extent cx="1181100" cy="426720"/>
                  <wp:effectExtent l="0" t="0" r="0" b="0"/>
                  <wp:docPr id="20800691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69193" name="图片 18"/>
                          <pic:cNvPicPr>
                            <a:picLocks noChangeAspect="1" noChangeArrowheads="1"/>
                          </pic:cNvPicPr>
                        </pic:nvPicPr>
                        <pic:blipFill>
                          <a:blip r:embed="rId30"/>
                          <a:srcRect/>
                          <a:stretch>
                            <a:fillRect/>
                          </a:stretch>
                        </pic:blipFill>
                        <pic:spPr>
                          <a:xfrm>
                            <a:off x="0" y="0"/>
                            <a:ext cx="1181100" cy="426720"/>
                          </a:xfrm>
                          <a:prstGeom prst="rect">
                            <a:avLst/>
                          </a:prstGeom>
                          <a:noFill/>
                          <a:ln>
                            <a:noFill/>
                          </a:ln>
                        </pic:spPr>
                      </pic:pic>
                    </a:graphicData>
                  </a:graphic>
                </wp:inline>
              </w:drawing>
            </w:r>
          </w:p>
          <w:p w14:paraId="3D2048FE">
            <w:pPr>
              <w:pStyle w:val="28"/>
              <w:ind w:firstLine="480"/>
            </w:pPr>
            <w:r>
              <w:t>式中：</w:t>
            </w:r>
            <w:r>
              <w:drawing>
                <wp:inline distT="0" distB="0" distL="0" distR="0">
                  <wp:extent cx="381000" cy="281940"/>
                  <wp:effectExtent l="0" t="0" r="0" b="7620"/>
                  <wp:docPr id="19283152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15211" name="图片 17"/>
                          <pic:cNvPicPr>
                            <a:picLocks noChangeAspect="1" noChangeArrowheads="1"/>
                          </pic:cNvPicPr>
                        </pic:nvPicPr>
                        <pic:blipFill>
                          <a:blip r:embed="rId31"/>
                          <a:srcRect/>
                          <a:stretch>
                            <a:fillRect/>
                          </a:stretch>
                        </pic:blipFill>
                        <pic:spPr>
                          <a:xfrm>
                            <a:off x="0" y="0"/>
                            <a:ext cx="381000" cy="281940"/>
                          </a:xfrm>
                          <a:prstGeom prst="rect">
                            <a:avLst/>
                          </a:prstGeom>
                          <a:noFill/>
                          <a:ln>
                            <a:noFill/>
                          </a:ln>
                        </pic:spPr>
                      </pic:pic>
                    </a:graphicData>
                  </a:graphic>
                </wp:inline>
              </w:drawing>
            </w:r>
            <w:r>
              <w:t>—总声压级，[dB(A)]；</w:t>
            </w:r>
          </w:p>
          <w:p w14:paraId="1A9D132A">
            <w:pPr>
              <w:pStyle w:val="28"/>
              <w:ind w:firstLine="480"/>
            </w:pPr>
            <w:r>
              <w:drawing>
                <wp:inline distT="0" distB="0" distL="0" distR="0">
                  <wp:extent cx="876300" cy="281940"/>
                  <wp:effectExtent l="0" t="0" r="7620" b="7620"/>
                  <wp:docPr id="6096143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14381" name="图片 16"/>
                          <pic:cNvPicPr>
                            <a:picLocks noChangeAspect="1" noChangeArrowheads="1"/>
                          </pic:cNvPicPr>
                        </pic:nvPicPr>
                        <pic:blipFill>
                          <a:blip r:embed="rId32"/>
                          <a:srcRect/>
                          <a:stretch>
                            <a:fillRect/>
                          </a:stretch>
                        </pic:blipFill>
                        <pic:spPr>
                          <a:xfrm>
                            <a:off x="0" y="0"/>
                            <a:ext cx="876300" cy="281940"/>
                          </a:xfrm>
                          <a:prstGeom prst="rect">
                            <a:avLst/>
                          </a:prstGeom>
                          <a:noFill/>
                          <a:ln>
                            <a:noFill/>
                          </a:ln>
                        </pic:spPr>
                      </pic:pic>
                    </a:graphicData>
                  </a:graphic>
                </wp:inline>
              </w:drawing>
            </w:r>
            <w:r>
              <w:t>—第</w:t>
            </w:r>
            <w:r>
              <w:rPr>
                <w:rFonts w:hint="eastAsia"/>
              </w:rPr>
              <w:t>i</w:t>
            </w:r>
            <w:r>
              <w:t>个声源的声压级，[dB(A)]；</w:t>
            </w:r>
          </w:p>
          <w:p w14:paraId="16F4F266">
            <w:pPr>
              <w:pStyle w:val="28"/>
              <w:ind w:firstLine="480"/>
            </w:pPr>
            <w:r>
              <w:drawing>
                <wp:inline distT="0" distB="0" distL="0" distR="0">
                  <wp:extent cx="838200" cy="281940"/>
                  <wp:effectExtent l="0" t="0" r="0" b="7620"/>
                  <wp:docPr id="3904605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60587" name="图片 14"/>
                          <pic:cNvPicPr>
                            <a:picLocks noChangeAspect="1" noChangeArrowheads="1"/>
                          </pic:cNvPicPr>
                        </pic:nvPicPr>
                        <pic:blipFill>
                          <a:blip r:embed="rId33"/>
                          <a:srcRect/>
                          <a:stretch>
                            <a:fillRect/>
                          </a:stretch>
                        </pic:blipFill>
                        <pic:spPr>
                          <a:xfrm>
                            <a:off x="0" y="0"/>
                            <a:ext cx="838200" cy="281940"/>
                          </a:xfrm>
                          <a:prstGeom prst="rect">
                            <a:avLst/>
                          </a:prstGeom>
                          <a:noFill/>
                          <a:ln>
                            <a:noFill/>
                          </a:ln>
                        </pic:spPr>
                      </pic:pic>
                    </a:graphicData>
                  </a:graphic>
                </wp:inline>
              </w:drawing>
            </w:r>
            <w:r>
              <w:t>—声源数量。</w:t>
            </w:r>
          </w:p>
          <w:p w14:paraId="4E03F91D">
            <w:pPr>
              <w:pStyle w:val="28"/>
              <w:ind w:firstLine="480"/>
            </w:pPr>
            <w:r>
              <w:rPr>
                <w:rFonts w:hint="eastAsia"/>
              </w:rPr>
              <w:t>④</w:t>
            </w:r>
            <w:r>
              <w:t>户外声传播衰减计算公式</w:t>
            </w:r>
          </w:p>
          <w:p w14:paraId="0978A102">
            <w:pPr>
              <w:pStyle w:val="28"/>
              <w:ind w:firstLine="480"/>
              <w:jc w:val="center"/>
            </w:pPr>
            <w:r>
              <w:t>Lp(r)＝Lp(r0)+DC－(Adiv＋Aatm＋Agr＋Abar＋Amisc)</w:t>
            </w:r>
          </w:p>
          <w:p w14:paraId="73C58A89">
            <w:pPr>
              <w:pStyle w:val="28"/>
              <w:ind w:firstLine="480"/>
            </w:pPr>
            <w:r>
              <w:t>式中：L</w:t>
            </w:r>
            <w:r>
              <w:rPr>
                <w:vertAlign w:val="subscript"/>
              </w:rPr>
              <w:t>p</w:t>
            </w:r>
            <w:r>
              <w:t>(r)—预测点处声压级，dB；</w:t>
            </w:r>
          </w:p>
          <w:p w14:paraId="7C60AE8A">
            <w:pPr>
              <w:pStyle w:val="28"/>
              <w:ind w:firstLine="1200" w:firstLineChars="500"/>
            </w:pPr>
            <w:r>
              <w:t>L</w:t>
            </w:r>
            <w:r>
              <w:rPr>
                <w:vertAlign w:val="subscript"/>
              </w:rPr>
              <w:t>p</w:t>
            </w:r>
            <w:r>
              <w:t>(r</w:t>
            </w:r>
            <w:r>
              <w:rPr>
                <w:vertAlign w:val="subscript"/>
              </w:rPr>
              <w:t>0</w:t>
            </w:r>
            <w:r>
              <w:t>)—参考位置r</w:t>
            </w:r>
            <w:r>
              <w:rPr>
                <w:vertAlign w:val="subscript"/>
              </w:rPr>
              <w:t>0</w:t>
            </w:r>
            <w:r>
              <w:t>处的声压级，dB；</w:t>
            </w:r>
          </w:p>
          <w:p w14:paraId="2414DF3E">
            <w:pPr>
              <w:pStyle w:val="28"/>
              <w:ind w:firstLine="1200" w:firstLineChars="500"/>
            </w:pPr>
            <w:r>
              <w:t>D</w:t>
            </w:r>
            <w:r>
              <w:rPr>
                <w:vertAlign w:val="subscript"/>
              </w:rPr>
              <w:t>C</w:t>
            </w:r>
            <w:r>
              <w:t>—指向性校正，它描述点声源的等效连续声压级与产生声功率级L</w:t>
            </w:r>
            <w:r>
              <w:rPr>
                <w:vertAlign w:val="subscript"/>
              </w:rPr>
              <w:t>w</w:t>
            </w:r>
            <w:r>
              <w:t>的全向点声源在规定方向的声级的偏差程度，dB；</w:t>
            </w:r>
          </w:p>
          <w:p w14:paraId="4FC511C8">
            <w:pPr>
              <w:pStyle w:val="28"/>
              <w:ind w:firstLine="1200" w:firstLineChars="500"/>
            </w:pPr>
            <w:r>
              <w:t>A</w:t>
            </w:r>
            <w:r>
              <w:rPr>
                <w:vertAlign w:val="subscript"/>
              </w:rPr>
              <w:t>div</w:t>
            </w:r>
            <w:r>
              <w:t>—几何发散引起的衰减，dB；</w:t>
            </w:r>
          </w:p>
          <w:p w14:paraId="564811B4">
            <w:pPr>
              <w:pStyle w:val="28"/>
              <w:ind w:firstLine="1200" w:firstLineChars="500"/>
            </w:pPr>
            <w:r>
              <w:t>A</w:t>
            </w:r>
            <w:r>
              <w:rPr>
                <w:vertAlign w:val="subscript"/>
              </w:rPr>
              <w:t>atm</w:t>
            </w:r>
            <w:r>
              <w:t>—大气吸收引起的衰减，dB；</w:t>
            </w:r>
          </w:p>
          <w:p w14:paraId="25DBFD62">
            <w:pPr>
              <w:pStyle w:val="28"/>
              <w:ind w:firstLine="1200" w:firstLineChars="500"/>
            </w:pPr>
            <w:r>
              <w:t>A</w:t>
            </w:r>
            <w:r>
              <w:rPr>
                <w:vertAlign w:val="subscript"/>
              </w:rPr>
              <w:t>gr</w:t>
            </w:r>
            <w:r>
              <w:t>—地面效应引起的衰减，dB；</w:t>
            </w:r>
          </w:p>
          <w:p w14:paraId="03946E06">
            <w:pPr>
              <w:pStyle w:val="28"/>
              <w:ind w:firstLine="1200" w:firstLineChars="500"/>
            </w:pPr>
            <w:r>
              <w:t>A</w:t>
            </w:r>
            <w:r>
              <w:rPr>
                <w:vertAlign w:val="subscript"/>
              </w:rPr>
              <w:t>bar</w:t>
            </w:r>
            <w:r>
              <w:t>—障碍物屏蔽引起的衰减，dB；</w:t>
            </w:r>
          </w:p>
          <w:p w14:paraId="704D925A">
            <w:pPr>
              <w:pStyle w:val="28"/>
              <w:ind w:firstLine="1200" w:firstLineChars="500"/>
            </w:pPr>
            <w:r>
              <w:t>A</w:t>
            </w:r>
            <w:r>
              <w:rPr>
                <w:vertAlign w:val="subscript"/>
              </w:rPr>
              <w:t>misc</w:t>
            </w:r>
            <w:r>
              <w:t>—其他多方面效应引起的衰减，dB。</w:t>
            </w:r>
          </w:p>
          <w:p w14:paraId="6AF46D0C">
            <w:pPr>
              <w:pStyle w:val="28"/>
              <w:ind w:firstLine="482"/>
              <w:rPr>
                <w:b/>
                <w:bCs/>
              </w:rPr>
            </w:pPr>
            <w:r>
              <w:rPr>
                <w:rFonts w:hint="eastAsia"/>
                <w:b/>
                <w:bCs/>
              </w:rPr>
              <w:t>3、</w:t>
            </w:r>
            <w:r>
              <w:rPr>
                <w:b/>
                <w:bCs/>
              </w:rPr>
              <w:t>厂界噪声达标情况</w:t>
            </w:r>
          </w:p>
          <w:p w14:paraId="3E0843FF">
            <w:pPr>
              <w:pStyle w:val="28"/>
              <w:ind w:firstLine="480"/>
            </w:pPr>
            <w:r>
              <w:t>根据噪声源的分布，评价以噪声源对项目四周厂界噪声贡献值进行计算，结果</w:t>
            </w:r>
            <w:r>
              <w:rPr>
                <w:rFonts w:hint="eastAsia"/>
              </w:rPr>
              <w:t>如下：</w:t>
            </w:r>
          </w:p>
          <w:p w14:paraId="5E2550FF">
            <w:pPr>
              <w:pStyle w:val="67"/>
              <w:ind w:firstLine="480"/>
            </w:pPr>
            <w:r>
              <w:t xml:space="preserve">            噪声贡献值计算结果一览表</w:t>
            </w:r>
          </w:p>
          <w:tbl>
            <w:tblPr>
              <w:tblStyle w:val="20"/>
              <w:tblW w:w="0" w:type="auto"/>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3"/>
              <w:gridCol w:w="822"/>
              <w:gridCol w:w="1604"/>
              <w:gridCol w:w="1604"/>
              <w:gridCol w:w="1604"/>
              <w:gridCol w:w="1604"/>
            </w:tblGrid>
            <w:tr w14:paraId="1634686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5" w:type="dxa"/>
                  <w:gridSpan w:val="2"/>
                  <w:vAlign w:val="center"/>
                </w:tcPr>
                <w:p w14:paraId="1BD31443">
                  <w:pPr>
                    <w:pStyle w:val="86"/>
                    <w:rPr>
                      <w:b/>
                      <w:bCs w:val="0"/>
                    </w:rPr>
                  </w:pPr>
                  <w:r>
                    <w:rPr>
                      <w:rFonts w:hint="eastAsia"/>
                      <w:b/>
                      <w:bCs w:val="0"/>
                    </w:rPr>
                    <w:t>预测点</w:t>
                  </w:r>
                </w:p>
              </w:tc>
              <w:tc>
                <w:tcPr>
                  <w:tcW w:w="1604" w:type="dxa"/>
                  <w:vAlign w:val="center"/>
                </w:tcPr>
                <w:p w14:paraId="0BBD14ED">
                  <w:pPr>
                    <w:pStyle w:val="86"/>
                    <w:rPr>
                      <w:b/>
                      <w:bCs w:val="0"/>
                    </w:rPr>
                  </w:pPr>
                  <w:r>
                    <w:rPr>
                      <w:rFonts w:hint="eastAsia"/>
                      <w:b/>
                      <w:bCs w:val="0"/>
                    </w:rPr>
                    <w:t>东厂界</w:t>
                  </w:r>
                </w:p>
              </w:tc>
              <w:tc>
                <w:tcPr>
                  <w:tcW w:w="1604" w:type="dxa"/>
                  <w:vAlign w:val="center"/>
                </w:tcPr>
                <w:p w14:paraId="6FD87F9E">
                  <w:pPr>
                    <w:pStyle w:val="86"/>
                    <w:rPr>
                      <w:b/>
                      <w:bCs w:val="0"/>
                    </w:rPr>
                  </w:pPr>
                  <w:r>
                    <w:rPr>
                      <w:rFonts w:hint="eastAsia"/>
                      <w:b/>
                      <w:bCs w:val="0"/>
                    </w:rPr>
                    <w:t>南厂界</w:t>
                  </w:r>
                </w:p>
              </w:tc>
              <w:tc>
                <w:tcPr>
                  <w:tcW w:w="1604" w:type="dxa"/>
                  <w:vAlign w:val="center"/>
                </w:tcPr>
                <w:p w14:paraId="5FA4C117">
                  <w:pPr>
                    <w:pStyle w:val="86"/>
                    <w:rPr>
                      <w:b/>
                      <w:bCs w:val="0"/>
                    </w:rPr>
                  </w:pPr>
                  <w:r>
                    <w:rPr>
                      <w:rFonts w:hint="eastAsia"/>
                      <w:b/>
                      <w:bCs w:val="0"/>
                    </w:rPr>
                    <w:t>西厂界</w:t>
                  </w:r>
                </w:p>
              </w:tc>
              <w:tc>
                <w:tcPr>
                  <w:tcW w:w="1604" w:type="dxa"/>
                  <w:vAlign w:val="center"/>
                </w:tcPr>
                <w:p w14:paraId="4E907063">
                  <w:pPr>
                    <w:pStyle w:val="86"/>
                    <w:rPr>
                      <w:b/>
                      <w:bCs w:val="0"/>
                    </w:rPr>
                  </w:pPr>
                  <w:r>
                    <w:rPr>
                      <w:rFonts w:hint="eastAsia"/>
                      <w:b/>
                      <w:bCs w:val="0"/>
                    </w:rPr>
                    <w:t>北厂界</w:t>
                  </w:r>
                </w:p>
              </w:tc>
            </w:tr>
            <w:tr w14:paraId="7629596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3" w:type="dxa"/>
                  <w:vMerge w:val="restart"/>
                  <w:vAlign w:val="center"/>
                </w:tcPr>
                <w:p w14:paraId="7396C4A2">
                  <w:pPr>
                    <w:pStyle w:val="86"/>
                  </w:pPr>
                  <w:r>
                    <w:rPr>
                      <w:rFonts w:hint="eastAsia"/>
                    </w:rPr>
                    <w:t>厂界贡献值</w:t>
                  </w:r>
                </w:p>
              </w:tc>
              <w:tc>
                <w:tcPr>
                  <w:tcW w:w="822" w:type="dxa"/>
                  <w:vAlign w:val="center"/>
                </w:tcPr>
                <w:p w14:paraId="7A026D0A">
                  <w:pPr>
                    <w:pStyle w:val="86"/>
                  </w:pPr>
                  <w:r>
                    <w:rPr>
                      <w:rFonts w:hint="eastAsia"/>
                    </w:rPr>
                    <w:t>昼间</w:t>
                  </w:r>
                </w:p>
              </w:tc>
              <w:tc>
                <w:tcPr>
                  <w:tcW w:w="1604" w:type="dxa"/>
                  <w:vAlign w:val="center"/>
                </w:tcPr>
                <w:p w14:paraId="4A1E11F1">
                  <w:pPr>
                    <w:pStyle w:val="86"/>
                  </w:pPr>
                  <w:r>
                    <w:rPr>
                      <w:rFonts w:hint="eastAsia"/>
                    </w:rPr>
                    <w:t>40.2</w:t>
                  </w:r>
                </w:p>
              </w:tc>
              <w:tc>
                <w:tcPr>
                  <w:tcW w:w="1604" w:type="dxa"/>
                  <w:vAlign w:val="center"/>
                </w:tcPr>
                <w:p w14:paraId="7EA32762">
                  <w:pPr>
                    <w:pStyle w:val="86"/>
                  </w:pPr>
                  <w:r>
                    <w:rPr>
                      <w:rFonts w:hint="eastAsia"/>
                    </w:rPr>
                    <w:t>51.1</w:t>
                  </w:r>
                </w:p>
              </w:tc>
              <w:tc>
                <w:tcPr>
                  <w:tcW w:w="1604" w:type="dxa"/>
                  <w:vAlign w:val="center"/>
                </w:tcPr>
                <w:p w14:paraId="542ADCD3">
                  <w:pPr>
                    <w:pStyle w:val="86"/>
                  </w:pPr>
                  <w:r>
                    <w:rPr>
                      <w:rFonts w:hint="eastAsia"/>
                    </w:rPr>
                    <w:t>38.7</w:t>
                  </w:r>
                </w:p>
              </w:tc>
              <w:tc>
                <w:tcPr>
                  <w:tcW w:w="1604" w:type="dxa"/>
                  <w:vAlign w:val="center"/>
                </w:tcPr>
                <w:p w14:paraId="0B667F2B">
                  <w:pPr>
                    <w:pStyle w:val="86"/>
                  </w:pPr>
                  <w:r>
                    <w:rPr>
                      <w:rFonts w:hint="eastAsia"/>
                    </w:rPr>
                    <w:t>50.2</w:t>
                  </w:r>
                </w:p>
              </w:tc>
            </w:tr>
            <w:tr w14:paraId="47E4847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3" w:type="dxa"/>
                  <w:vMerge w:val="continue"/>
                  <w:vAlign w:val="center"/>
                </w:tcPr>
                <w:p w14:paraId="2B57BAE2">
                  <w:pPr>
                    <w:pStyle w:val="86"/>
                  </w:pPr>
                </w:p>
              </w:tc>
              <w:tc>
                <w:tcPr>
                  <w:tcW w:w="822" w:type="dxa"/>
                  <w:vAlign w:val="center"/>
                </w:tcPr>
                <w:p w14:paraId="5FA92A52">
                  <w:pPr>
                    <w:pStyle w:val="86"/>
                  </w:pPr>
                  <w:r>
                    <w:rPr>
                      <w:rFonts w:hint="eastAsia"/>
                    </w:rPr>
                    <w:t>夜间</w:t>
                  </w:r>
                </w:p>
              </w:tc>
              <w:tc>
                <w:tcPr>
                  <w:tcW w:w="1604" w:type="dxa"/>
                  <w:vAlign w:val="center"/>
                </w:tcPr>
                <w:p w14:paraId="77C96ACC">
                  <w:pPr>
                    <w:pStyle w:val="86"/>
                  </w:pPr>
                  <w:r>
                    <w:rPr>
                      <w:rFonts w:hint="eastAsia"/>
                    </w:rPr>
                    <w:t>40.2</w:t>
                  </w:r>
                </w:p>
              </w:tc>
              <w:tc>
                <w:tcPr>
                  <w:tcW w:w="1604" w:type="dxa"/>
                  <w:vAlign w:val="center"/>
                </w:tcPr>
                <w:p w14:paraId="0512FA3E">
                  <w:pPr>
                    <w:pStyle w:val="86"/>
                  </w:pPr>
                  <w:r>
                    <w:rPr>
                      <w:rFonts w:hint="eastAsia"/>
                    </w:rPr>
                    <w:t>51.1</w:t>
                  </w:r>
                </w:p>
              </w:tc>
              <w:tc>
                <w:tcPr>
                  <w:tcW w:w="1604" w:type="dxa"/>
                  <w:vAlign w:val="center"/>
                </w:tcPr>
                <w:p w14:paraId="4416BFD1">
                  <w:pPr>
                    <w:pStyle w:val="86"/>
                  </w:pPr>
                  <w:r>
                    <w:rPr>
                      <w:rFonts w:hint="eastAsia"/>
                    </w:rPr>
                    <w:t>38.7</w:t>
                  </w:r>
                </w:p>
              </w:tc>
              <w:tc>
                <w:tcPr>
                  <w:tcW w:w="1604" w:type="dxa"/>
                  <w:vAlign w:val="center"/>
                </w:tcPr>
                <w:p w14:paraId="37C97D9B">
                  <w:pPr>
                    <w:pStyle w:val="86"/>
                  </w:pPr>
                  <w:r>
                    <w:rPr>
                      <w:rFonts w:hint="eastAsia"/>
                    </w:rPr>
                    <w:t>50.2</w:t>
                  </w:r>
                </w:p>
              </w:tc>
            </w:tr>
            <w:tr w14:paraId="1593C7E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3" w:type="dxa"/>
                  <w:vMerge w:val="restart"/>
                  <w:vAlign w:val="center"/>
                </w:tcPr>
                <w:p w14:paraId="24BB9FCE">
                  <w:pPr>
                    <w:pStyle w:val="86"/>
                  </w:pPr>
                  <w:r>
                    <w:rPr>
                      <w:rFonts w:hint="eastAsia"/>
                    </w:rPr>
                    <w:t>标准值</w:t>
                  </w:r>
                </w:p>
              </w:tc>
              <w:tc>
                <w:tcPr>
                  <w:tcW w:w="822" w:type="dxa"/>
                  <w:vAlign w:val="center"/>
                </w:tcPr>
                <w:p w14:paraId="4CEE66FF">
                  <w:pPr>
                    <w:pStyle w:val="86"/>
                  </w:pPr>
                  <w:r>
                    <w:rPr>
                      <w:rFonts w:hint="eastAsia"/>
                    </w:rPr>
                    <w:t>昼间</w:t>
                  </w:r>
                </w:p>
              </w:tc>
              <w:tc>
                <w:tcPr>
                  <w:tcW w:w="1604" w:type="dxa"/>
                  <w:vAlign w:val="center"/>
                </w:tcPr>
                <w:p w14:paraId="70F21136">
                  <w:pPr>
                    <w:pStyle w:val="86"/>
                  </w:pPr>
                  <w:r>
                    <w:rPr>
                      <w:rFonts w:hint="eastAsia"/>
                    </w:rPr>
                    <w:t>65</w:t>
                  </w:r>
                </w:p>
              </w:tc>
              <w:tc>
                <w:tcPr>
                  <w:tcW w:w="1604" w:type="dxa"/>
                  <w:vAlign w:val="center"/>
                </w:tcPr>
                <w:p w14:paraId="118B36E3">
                  <w:pPr>
                    <w:pStyle w:val="86"/>
                  </w:pPr>
                  <w:r>
                    <w:rPr>
                      <w:rFonts w:hint="eastAsia"/>
                    </w:rPr>
                    <w:t>65</w:t>
                  </w:r>
                </w:p>
              </w:tc>
              <w:tc>
                <w:tcPr>
                  <w:tcW w:w="1604" w:type="dxa"/>
                  <w:vAlign w:val="center"/>
                </w:tcPr>
                <w:p w14:paraId="24C55618">
                  <w:pPr>
                    <w:pStyle w:val="86"/>
                  </w:pPr>
                  <w:r>
                    <w:rPr>
                      <w:rFonts w:hint="eastAsia"/>
                    </w:rPr>
                    <w:t>65</w:t>
                  </w:r>
                </w:p>
              </w:tc>
              <w:tc>
                <w:tcPr>
                  <w:tcW w:w="1604" w:type="dxa"/>
                  <w:vAlign w:val="center"/>
                </w:tcPr>
                <w:p w14:paraId="41848FF7">
                  <w:pPr>
                    <w:pStyle w:val="86"/>
                  </w:pPr>
                  <w:r>
                    <w:rPr>
                      <w:rFonts w:hint="eastAsia"/>
                    </w:rPr>
                    <w:t>65</w:t>
                  </w:r>
                </w:p>
              </w:tc>
            </w:tr>
            <w:tr w14:paraId="5299665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3" w:type="dxa"/>
                  <w:vMerge w:val="continue"/>
                  <w:vAlign w:val="center"/>
                </w:tcPr>
                <w:p w14:paraId="6167D1B6">
                  <w:pPr>
                    <w:pStyle w:val="86"/>
                  </w:pPr>
                </w:p>
              </w:tc>
              <w:tc>
                <w:tcPr>
                  <w:tcW w:w="822" w:type="dxa"/>
                  <w:vAlign w:val="center"/>
                </w:tcPr>
                <w:p w14:paraId="66E51E30">
                  <w:pPr>
                    <w:pStyle w:val="86"/>
                  </w:pPr>
                  <w:r>
                    <w:rPr>
                      <w:rFonts w:hint="eastAsia"/>
                    </w:rPr>
                    <w:t>夜间</w:t>
                  </w:r>
                </w:p>
              </w:tc>
              <w:tc>
                <w:tcPr>
                  <w:tcW w:w="1604" w:type="dxa"/>
                  <w:vAlign w:val="center"/>
                </w:tcPr>
                <w:p w14:paraId="7EC406ED">
                  <w:pPr>
                    <w:pStyle w:val="86"/>
                  </w:pPr>
                  <w:r>
                    <w:rPr>
                      <w:rFonts w:hint="eastAsia"/>
                    </w:rPr>
                    <w:t>55</w:t>
                  </w:r>
                </w:p>
              </w:tc>
              <w:tc>
                <w:tcPr>
                  <w:tcW w:w="1604" w:type="dxa"/>
                  <w:vAlign w:val="center"/>
                </w:tcPr>
                <w:p w14:paraId="414ABD17">
                  <w:pPr>
                    <w:pStyle w:val="86"/>
                  </w:pPr>
                  <w:r>
                    <w:rPr>
                      <w:rFonts w:hint="eastAsia"/>
                    </w:rPr>
                    <w:t>55</w:t>
                  </w:r>
                </w:p>
              </w:tc>
              <w:tc>
                <w:tcPr>
                  <w:tcW w:w="1604" w:type="dxa"/>
                  <w:vAlign w:val="center"/>
                </w:tcPr>
                <w:p w14:paraId="6B44F318">
                  <w:pPr>
                    <w:pStyle w:val="86"/>
                  </w:pPr>
                  <w:r>
                    <w:rPr>
                      <w:rFonts w:hint="eastAsia"/>
                    </w:rPr>
                    <w:t>55</w:t>
                  </w:r>
                </w:p>
              </w:tc>
              <w:tc>
                <w:tcPr>
                  <w:tcW w:w="1604" w:type="dxa"/>
                  <w:vAlign w:val="center"/>
                </w:tcPr>
                <w:p w14:paraId="4F2ED475">
                  <w:pPr>
                    <w:pStyle w:val="86"/>
                  </w:pPr>
                  <w:r>
                    <w:rPr>
                      <w:rFonts w:hint="eastAsia"/>
                    </w:rPr>
                    <w:t>55</w:t>
                  </w:r>
                </w:p>
              </w:tc>
            </w:tr>
            <w:tr w14:paraId="3B207A5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3" w:type="dxa"/>
                  <w:vMerge w:val="restart"/>
                  <w:vAlign w:val="center"/>
                </w:tcPr>
                <w:p w14:paraId="61F80FA4">
                  <w:pPr>
                    <w:pStyle w:val="86"/>
                  </w:pPr>
                  <w:r>
                    <w:rPr>
                      <w:rFonts w:hint="eastAsia"/>
                    </w:rPr>
                    <w:t>达标情况</w:t>
                  </w:r>
                </w:p>
              </w:tc>
              <w:tc>
                <w:tcPr>
                  <w:tcW w:w="822" w:type="dxa"/>
                  <w:vAlign w:val="center"/>
                </w:tcPr>
                <w:p w14:paraId="047CDFF9">
                  <w:pPr>
                    <w:pStyle w:val="86"/>
                  </w:pPr>
                  <w:r>
                    <w:rPr>
                      <w:rFonts w:hint="eastAsia"/>
                    </w:rPr>
                    <w:t>昼间</w:t>
                  </w:r>
                </w:p>
              </w:tc>
              <w:tc>
                <w:tcPr>
                  <w:tcW w:w="1604" w:type="dxa"/>
                  <w:vAlign w:val="center"/>
                </w:tcPr>
                <w:p w14:paraId="45A8FB52">
                  <w:pPr>
                    <w:pStyle w:val="86"/>
                  </w:pPr>
                  <w:r>
                    <w:rPr>
                      <w:rFonts w:hint="eastAsia"/>
                    </w:rPr>
                    <w:t>达标</w:t>
                  </w:r>
                </w:p>
              </w:tc>
              <w:tc>
                <w:tcPr>
                  <w:tcW w:w="1604" w:type="dxa"/>
                  <w:vAlign w:val="center"/>
                </w:tcPr>
                <w:p w14:paraId="7EBE448A">
                  <w:pPr>
                    <w:pStyle w:val="86"/>
                  </w:pPr>
                  <w:r>
                    <w:rPr>
                      <w:rFonts w:hint="eastAsia"/>
                    </w:rPr>
                    <w:t>达标</w:t>
                  </w:r>
                </w:p>
              </w:tc>
              <w:tc>
                <w:tcPr>
                  <w:tcW w:w="1604" w:type="dxa"/>
                  <w:vAlign w:val="center"/>
                </w:tcPr>
                <w:p w14:paraId="64585479">
                  <w:pPr>
                    <w:pStyle w:val="86"/>
                  </w:pPr>
                  <w:r>
                    <w:rPr>
                      <w:rFonts w:hint="eastAsia"/>
                    </w:rPr>
                    <w:t>达标</w:t>
                  </w:r>
                </w:p>
              </w:tc>
              <w:tc>
                <w:tcPr>
                  <w:tcW w:w="1604" w:type="dxa"/>
                  <w:vAlign w:val="center"/>
                </w:tcPr>
                <w:p w14:paraId="2BAD86FE">
                  <w:pPr>
                    <w:pStyle w:val="86"/>
                  </w:pPr>
                  <w:r>
                    <w:rPr>
                      <w:rFonts w:hint="eastAsia"/>
                    </w:rPr>
                    <w:t>达标</w:t>
                  </w:r>
                </w:p>
              </w:tc>
            </w:tr>
            <w:tr w14:paraId="56C3287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3" w:type="dxa"/>
                  <w:vMerge w:val="continue"/>
                  <w:vAlign w:val="center"/>
                </w:tcPr>
                <w:p w14:paraId="13AFECE9">
                  <w:pPr>
                    <w:pStyle w:val="86"/>
                  </w:pPr>
                </w:p>
              </w:tc>
              <w:tc>
                <w:tcPr>
                  <w:tcW w:w="822" w:type="dxa"/>
                  <w:vAlign w:val="center"/>
                </w:tcPr>
                <w:p w14:paraId="5F20649C">
                  <w:pPr>
                    <w:pStyle w:val="86"/>
                  </w:pPr>
                  <w:r>
                    <w:rPr>
                      <w:rFonts w:hint="eastAsia"/>
                    </w:rPr>
                    <w:t>夜间</w:t>
                  </w:r>
                </w:p>
              </w:tc>
              <w:tc>
                <w:tcPr>
                  <w:tcW w:w="1604" w:type="dxa"/>
                  <w:vAlign w:val="center"/>
                </w:tcPr>
                <w:p w14:paraId="78C096D3">
                  <w:pPr>
                    <w:pStyle w:val="86"/>
                  </w:pPr>
                  <w:r>
                    <w:rPr>
                      <w:rFonts w:hint="eastAsia"/>
                    </w:rPr>
                    <w:t>达标</w:t>
                  </w:r>
                </w:p>
              </w:tc>
              <w:tc>
                <w:tcPr>
                  <w:tcW w:w="1604" w:type="dxa"/>
                  <w:vAlign w:val="center"/>
                </w:tcPr>
                <w:p w14:paraId="0F671AE9">
                  <w:pPr>
                    <w:pStyle w:val="86"/>
                  </w:pPr>
                  <w:r>
                    <w:rPr>
                      <w:rFonts w:hint="eastAsia"/>
                    </w:rPr>
                    <w:t>达标</w:t>
                  </w:r>
                </w:p>
              </w:tc>
              <w:tc>
                <w:tcPr>
                  <w:tcW w:w="1604" w:type="dxa"/>
                  <w:vAlign w:val="center"/>
                </w:tcPr>
                <w:p w14:paraId="018012AC">
                  <w:pPr>
                    <w:pStyle w:val="86"/>
                  </w:pPr>
                  <w:r>
                    <w:rPr>
                      <w:rFonts w:hint="eastAsia"/>
                    </w:rPr>
                    <w:t>达标</w:t>
                  </w:r>
                </w:p>
              </w:tc>
              <w:tc>
                <w:tcPr>
                  <w:tcW w:w="1604" w:type="dxa"/>
                  <w:vAlign w:val="center"/>
                </w:tcPr>
                <w:p w14:paraId="2959028A">
                  <w:pPr>
                    <w:pStyle w:val="86"/>
                  </w:pPr>
                  <w:r>
                    <w:rPr>
                      <w:rFonts w:hint="eastAsia"/>
                    </w:rPr>
                    <w:t>达标</w:t>
                  </w:r>
                </w:p>
              </w:tc>
            </w:tr>
          </w:tbl>
          <w:p w14:paraId="66D1DB33">
            <w:pPr>
              <w:pStyle w:val="28"/>
              <w:ind w:firstLine="480"/>
            </w:pPr>
            <w:r>
              <w:rPr>
                <w:rFonts w:hint="eastAsia"/>
              </w:rPr>
              <w:t>厂界贡献值等值线图如下：</w:t>
            </w:r>
          </w:p>
          <w:p w14:paraId="05D62BE3">
            <w:pPr>
              <w:pStyle w:val="28"/>
              <w:ind w:firstLine="480"/>
            </w:pPr>
          </w:p>
          <w:p w14:paraId="317C75C2">
            <w:pPr>
              <w:pStyle w:val="28"/>
              <w:ind w:firstLine="480"/>
            </w:pPr>
          </w:p>
          <w:p w14:paraId="3AE788ED">
            <w:pPr>
              <w:pStyle w:val="28"/>
              <w:ind w:firstLine="480"/>
            </w:pPr>
          </w:p>
          <w:p w14:paraId="4EFC2E4B">
            <w:pPr>
              <w:pStyle w:val="28"/>
              <w:ind w:firstLine="480"/>
            </w:pPr>
          </w:p>
          <w:p w14:paraId="09F71941">
            <w:pPr>
              <w:pStyle w:val="28"/>
              <w:ind w:firstLine="480"/>
            </w:pPr>
          </w:p>
          <w:p w14:paraId="416853AD">
            <w:pPr>
              <w:pStyle w:val="92"/>
            </w:pPr>
            <w:r>
              <w:drawing>
                <wp:inline distT="0" distB="0" distL="0" distR="0">
                  <wp:extent cx="5434965" cy="2484755"/>
                  <wp:effectExtent l="9525" t="9525" r="11430" b="20320"/>
                  <wp:docPr id="1465957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57232" name="图片 1"/>
                          <pic:cNvPicPr>
                            <a:picLocks noChangeAspect="1"/>
                          </pic:cNvPicPr>
                        </pic:nvPicPr>
                        <pic:blipFill>
                          <a:blip r:embed="rId34"/>
                          <a:stretch>
                            <a:fillRect/>
                          </a:stretch>
                        </pic:blipFill>
                        <pic:spPr>
                          <a:xfrm>
                            <a:off x="0" y="0"/>
                            <a:ext cx="5434965" cy="2484755"/>
                          </a:xfrm>
                          <a:prstGeom prst="rect">
                            <a:avLst/>
                          </a:prstGeom>
                          <a:ln>
                            <a:solidFill>
                              <a:schemeClr val="tx1"/>
                            </a:solidFill>
                          </a:ln>
                        </pic:spPr>
                      </pic:pic>
                    </a:graphicData>
                  </a:graphic>
                </wp:inline>
              </w:drawing>
            </w:r>
          </w:p>
          <w:p w14:paraId="54F09000">
            <w:pPr>
              <w:adjustRightInd w:val="0"/>
              <w:snapToGrid w:val="0"/>
              <w:spacing w:line="460" w:lineRule="exact"/>
              <w:jc w:val="center"/>
              <w:textAlignment w:val="baseline"/>
              <w:rPr>
                <w:rFonts w:eastAsia="黑体"/>
                <w:bCs/>
                <w:sz w:val="24"/>
              </w:rPr>
            </w:pPr>
            <w:r>
              <w:rPr>
                <w:rFonts w:ascii="黑体" w:hAnsi="黑体" w:eastAsia="黑体"/>
                <w:sz w:val="24"/>
              </w:rPr>
              <w:t>图</w:t>
            </w:r>
            <w:r>
              <w:rPr>
                <w:rFonts w:hint="eastAsia" w:eastAsia="黑体"/>
                <w:sz w:val="24"/>
              </w:rPr>
              <w:t xml:space="preserve">6  </w:t>
            </w:r>
            <w:r>
              <w:rPr>
                <w:rFonts w:hint="eastAsia" w:ascii="黑体" w:hAnsi="黑体" w:eastAsia="黑体"/>
                <w:sz w:val="24"/>
              </w:rPr>
              <w:t>厂界贡献值等值线</w:t>
            </w:r>
            <w:r>
              <w:rPr>
                <w:rFonts w:ascii="黑体" w:hAnsi="黑体" w:eastAsia="黑体"/>
                <w:sz w:val="24"/>
              </w:rPr>
              <w:t>图</w:t>
            </w:r>
          </w:p>
          <w:p w14:paraId="04E13768">
            <w:pPr>
              <w:pStyle w:val="28"/>
              <w:ind w:firstLine="480"/>
              <w:rPr>
                <w:szCs w:val="24"/>
              </w:rPr>
            </w:pPr>
            <w:r>
              <w:rPr>
                <w:rFonts w:hint="eastAsia"/>
              </w:rPr>
              <w:t>本项目新租赁车间进行建设，位于现有工程车间南侧1</w:t>
            </w:r>
            <w:r>
              <w:t>10</w:t>
            </w:r>
            <w:r>
              <w:rPr>
                <w:rFonts w:hint="eastAsia"/>
              </w:rPr>
              <w:t>m，与现有工程没有共同厂界，因此不再与现有工程厂界噪声进行叠加。本项目运行期间高噪声设备经基础减振、厂房隔声后，项目厂区四周噪声均能够满足</w:t>
            </w:r>
            <w:r>
              <w:t>《工业企业厂界环境噪声排放标准》（GB12348-2008）3类昼间65dB(A)</w:t>
            </w:r>
            <w:r>
              <w:rPr>
                <w:rFonts w:hint="eastAsia"/>
              </w:rPr>
              <w:t>、夜间</w:t>
            </w:r>
            <w:r>
              <w:t>55dB(A)的标准要求</w:t>
            </w:r>
            <w:r>
              <w:rPr>
                <w:rFonts w:hint="eastAsia"/>
              </w:rPr>
              <w:t>，</w:t>
            </w:r>
            <w:r>
              <w:t>对四周环境影响较小。</w:t>
            </w:r>
          </w:p>
          <w:p w14:paraId="4F174561">
            <w:pPr>
              <w:spacing w:line="460" w:lineRule="exact"/>
              <w:ind w:firstLine="482" w:firstLineChars="200"/>
              <w:textAlignment w:val="baseline"/>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4</w:t>
            </w:r>
            <w:r>
              <w:rPr>
                <w:b/>
                <w:bCs/>
                <w:color w:val="000000" w:themeColor="text1"/>
                <w:sz w:val="24"/>
                <w:lang w:val="zh-CN"/>
                <w14:textFill>
                  <w14:solidFill>
                    <w14:schemeClr w14:val="tx1"/>
                  </w14:solidFill>
                </w14:textFill>
              </w:rPr>
              <w:t>、监测要求</w:t>
            </w:r>
          </w:p>
          <w:p w14:paraId="4ACD87B5">
            <w:pPr>
              <w:spacing w:line="460" w:lineRule="exact"/>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根</w:t>
            </w:r>
            <w:r>
              <w:rPr>
                <w:rStyle w:val="27"/>
              </w:rPr>
              <w:t>据</w:t>
            </w:r>
            <w:r>
              <w:rPr>
                <w:rStyle w:val="27"/>
                <w:rFonts w:hint="eastAsia"/>
              </w:rPr>
              <w:t>《排污单位自行监测技术指南 橡胶和塑料制品》（HJ1207-2021）、《排污许可证申请与核发技术规范 工业噪声》（HJ 1</w:t>
            </w:r>
            <w:r>
              <w:rPr>
                <w:rStyle w:val="27"/>
              </w:rPr>
              <w:t>301</w:t>
            </w:r>
            <w:r>
              <w:rPr>
                <w:rStyle w:val="27"/>
                <w:rFonts w:hint="eastAsia"/>
              </w:rPr>
              <w:t>-202</w:t>
            </w:r>
            <w:r>
              <w:rPr>
                <w:rStyle w:val="27"/>
              </w:rPr>
              <w:t>3</w:t>
            </w:r>
            <w:r>
              <w:rPr>
                <w:rStyle w:val="27"/>
                <w:rFonts w:hint="eastAsia"/>
              </w:rPr>
              <w:t>）</w:t>
            </w:r>
            <w:r>
              <w:rPr>
                <w:rStyle w:val="27"/>
              </w:rPr>
              <w:t>的规定，评价提出项目在</w:t>
            </w:r>
            <w:r>
              <w:rPr>
                <w:rStyle w:val="27"/>
                <w:rFonts w:hint="eastAsia"/>
              </w:rPr>
              <w:t>生产</w:t>
            </w:r>
            <w:r>
              <w:rPr>
                <w:rStyle w:val="27"/>
              </w:rPr>
              <w:t>运行阶段的</w:t>
            </w:r>
            <w:r>
              <w:rPr>
                <w:rStyle w:val="27"/>
                <w:rFonts w:hint="eastAsia"/>
              </w:rPr>
              <w:t>噪声</w:t>
            </w:r>
            <w:r>
              <w:rPr>
                <w:rStyle w:val="27"/>
              </w:rPr>
              <w:t>监测计划，具体</w:t>
            </w:r>
            <w:r>
              <w:rPr>
                <w:color w:val="000000" w:themeColor="text1"/>
                <w:sz w:val="24"/>
                <w:lang w:val="zh-CN"/>
                <w14:textFill>
                  <w14:solidFill>
                    <w14:schemeClr w14:val="tx1"/>
                  </w14:solidFill>
                </w14:textFill>
              </w:rPr>
              <w:t>监测计划见下表。</w:t>
            </w:r>
          </w:p>
          <w:p w14:paraId="49DC130E">
            <w:pPr>
              <w:pStyle w:val="67"/>
              <w:ind w:firstLine="480"/>
              <w:rPr>
                <w:lang w:val="zh-CN"/>
              </w:rPr>
            </w:pPr>
            <w:r>
              <w:rPr>
                <w:lang w:val="zh-CN"/>
              </w:rPr>
              <w:t xml:space="preserve">                 污染源自行监测计划表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
            <w:tblGrid>
              <w:gridCol w:w="873"/>
              <w:gridCol w:w="1748"/>
              <w:gridCol w:w="1221"/>
              <w:gridCol w:w="1515"/>
              <w:gridCol w:w="3202"/>
            </w:tblGrid>
            <w:tr w14:paraId="73A7D8E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911" w:type="dxa"/>
                  <w:vAlign w:val="center"/>
                </w:tcPr>
                <w:p w14:paraId="1AD3D3EF">
                  <w:pPr>
                    <w:pStyle w:val="86"/>
                    <w:rPr>
                      <w:b/>
                      <w:bCs w:val="0"/>
                    </w:rPr>
                  </w:pPr>
                  <w:r>
                    <w:rPr>
                      <w:b/>
                      <w:bCs w:val="0"/>
                    </w:rPr>
                    <w:t>监控类别</w:t>
                  </w:r>
                </w:p>
              </w:tc>
              <w:tc>
                <w:tcPr>
                  <w:tcW w:w="1861" w:type="dxa"/>
                  <w:tcMar>
                    <w:top w:w="0" w:type="dxa"/>
                    <w:left w:w="28" w:type="dxa"/>
                    <w:bottom w:w="0" w:type="dxa"/>
                    <w:right w:w="28" w:type="dxa"/>
                  </w:tcMar>
                  <w:vAlign w:val="center"/>
                </w:tcPr>
                <w:p w14:paraId="4B76351D">
                  <w:pPr>
                    <w:pStyle w:val="86"/>
                    <w:rPr>
                      <w:b/>
                      <w:bCs w:val="0"/>
                    </w:rPr>
                  </w:pPr>
                  <w:r>
                    <w:rPr>
                      <w:b/>
                      <w:bCs w:val="0"/>
                    </w:rPr>
                    <w:t>监测指标</w:t>
                  </w:r>
                </w:p>
              </w:tc>
              <w:tc>
                <w:tcPr>
                  <w:tcW w:w="1289" w:type="dxa"/>
                  <w:tcMar>
                    <w:top w:w="0" w:type="dxa"/>
                    <w:left w:w="28" w:type="dxa"/>
                    <w:bottom w:w="0" w:type="dxa"/>
                    <w:right w:w="28" w:type="dxa"/>
                  </w:tcMar>
                  <w:vAlign w:val="center"/>
                </w:tcPr>
                <w:p w14:paraId="10E089B5">
                  <w:pPr>
                    <w:pStyle w:val="86"/>
                    <w:rPr>
                      <w:b/>
                      <w:bCs w:val="0"/>
                    </w:rPr>
                  </w:pPr>
                  <w:r>
                    <w:rPr>
                      <w:b/>
                      <w:bCs w:val="0"/>
                    </w:rPr>
                    <w:t>监测点位</w:t>
                  </w:r>
                </w:p>
              </w:tc>
              <w:tc>
                <w:tcPr>
                  <w:tcW w:w="1610" w:type="dxa"/>
                  <w:tcMar>
                    <w:top w:w="0" w:type="dxa"/>
                    <w:left w:w="28" w:type="dxa"/>
                    <w:bottom w:w="0" w:type="dxa"/>
                    <w:right w:w="28" w:type="dxa"/>
                  </w:tcMar>
                  <w:vAlign w:val="center"/>
                </w:tcPr>
                <w:p w14:paraId="110F9503">
                  <w:pPr>
                    <w:pStyle w:val="86"/>
                    <w:rPr>
                      <w:b/>
                      <w:bCs w:val="0"/>
                    </w:rPr>
                  </w:pPr>
                  <w:r>
                    <w:rPr>
                      <w:b/>
                      <w:bCs w:val="0"/>
                    </w:rPr>
                    <w:t>监测频次</w:t>
                  </w:r>
                </w:p>
              </w:tc>
              <w:tc>
                <w:tcPr>
                  <w:tcW w:w="3359" w:type="dxa"/>
                  <w:tcMar>
                    <w:top w:w="0" w:type="dxa"/>
                    <w:left w:w="28" w:type="dxa"/>
                    <w:bottom w:w="0" w:type="dxa"/>
                    <w:right w:w="28" w:type="dxa"/>
                  </w:tcMar>
                  <w:vAlign w:val="center"/>
                </w:tcPr>
                <w:p w14:paraId="1DD446AB">
                  <w:pPr>
                    <w:pStyle w:val="86"/>
                    <w:rPr>
                      <w:b/>
                      <w:bCs w:val="0"/>
                    </w:rPr>
                  </w:pPr>
                  <w:r>
                    <w:rPr>
                      <w:b/>
                      <w:bCs w:val="0"/>
                    </w:rPr>
                    <w:t>执行排放标准</w:t>
                  </w:r>
                </w:p>
              </w:tc>
            </w:tr>
            <w:tr w14:paraId="51D4879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911" w:type="dxa"/>
                  <w:tcMar>
                    <w:top w:w="0" w:type="dxa"/>
                    <w:left w:w="28" w:type="dxa"/>
                    <w:bottom w:w="0" w:type="dxa"/>
                    <w:right w:w="28" w:type="dxa"/>
                  </w:tcMar>
                  <w:vAlign w:val="center"/>
                </w:tcPr>
                <w:p w14:paraId="0938D40A">
                  <w:pPr>
                    <w:pStyle w:val="86"/>
                  </w:pPr>
                  <w:r>
                    <w:t>噪声</w:t>
                  </w:r>
                </w:p>
              </w:tc>
              <w:tc>
                <w:tcPr>
                  <w:tcW w:w="1861" w:type="dxa"/>
                  <w:tcMar>
                    <w:top w:w="0" w:type="dxa"/>
                    <w:left w:w="28" w:type="dxa"/>
                    <w:bottom w:w="0" w:type="dxa"/>
                    <w:right w:w="28" w:type="dxa"/>
                  </w:tcMar>
                  <w:vAlign w:val="center"/>
                </w:tcPr>
                <w:p w14:paraId="642B2712">
                  <w:pPr>
                    <w:pStyle w:val="86"/>
                  </w:pPr>
                  <w:r>
                    <w:t>等效连续A声级</w:t>
                  </w:r>
                </w:p>
              </w:tc>
              <w:tc>
                <w:tcPr>
                  <w:tcW w:w="1289" w:type="dxa"/>
                  <w:tcMar>
                    <w:top w:w="0" w:type="dxa"/>
                    <w:left w:w="28" w:type="dxa"/>
                    <w:bottom w:w="0" w:type="dxa"/>
                    <w:right w:w="28" w:type="dxa"/>
                  </w:tcMar>
                  <w:vAlign w:val="center"/>
                </w:tcPr>
                <w:p w14:paraId="6686DA84">
                  <w:pPr>
                    <w:pStyle w:val="86"/>
                  </w:pPr>
                  <w:r>
                    <w:t>四周厂界外1m处</w:t>
                  </w:r>
                </w:p>
              </w:tc>
              <w:tc>
                <w:tcPr>
                  <w:tcW w:w="1610" w:type="dxa"/>
                  <w:tcMar>
                    <w:top w:w="0" w:type="dxa"/>
                    <w:left w:w="28" w:type="dxa"/>
                    <w:bottom w:w="0" w:type="dxa"/>
                    <w:right w:w="28" w:type="dxa"/>
                  </w:tcMar>
                  <w:vAlign w:val="center"/>
                </w:tcPr>
                <w:p w14:paraId="5E79F941">
                  <w:pPr>
                    <w:pStyle w:val="86"/>
                  </w:pPr>
                  <w:r>
                    <w:t>1次</w:t>
                  </w:r>
                  <w:r>
                    <w:rPr>
                      <w:rFonts w:hint="eastAsia"/>
                    </w:rPr>
                    <w:t>/季度</w:t>
                  </w:r>
                </w:p>
              </w:tc>
              <w:tc>
                <w:tcPr>
                  <w:tcW w:w="3359" w:type="dxa"/>
                  <w:tcMar>
                    <w:top w:w="0" w:type="dxa"/>
                    <w:left w:w="28" w:type="dxa"/>
                    <w:bottom w:w="0" w:type="dxa"/>
                    <w:right w:w="28" w:type="dxa"/>
                  </w:tcMar>
                  <w:vAlign w:val="center"/>
                </w:tcPr>
                <w:p w14:paraId="085C23C2">
                  <w:pPr>
                    <w:pStyle w:val="86"/>
                  </w:pPr>
                  <w:r>
                    <w:t>《工业企业厂界环境噪声排放标准》（GB12348-2008）3类</w:t>
                  </w:r>
                </w:p>
              </w:tc>
            </w:tr>
          </w:tbl>
          <w:p w14:paraId="61629BF2">
            <w:pPr>
              <w:spacing w:line="440" w:lineRule="exact"/>
              <w:ind w:firstLine="482" w:firstLineChars="200"/>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四、固废</w:t>
            </w:r>
          </w:p>
          <w:p w14:paraId="1F0588EE">
            <w:pPr>
              <w:pStyle w:val="28"/>
              <w:ind w:firstLine="480"/>
            </w:pPr>
            <w:r>
              <w:t>本项目营运期一般固废主要为</w:t>
            </w:r>
            <w:r>
              <w:rPr>
                <w:rFonts w:hint="eastAsia"/>
              </w:rPr>
              <w:t>造粒工序产生的废边角料、挤出机产生的废滤网、一体化污水处理站产生的污泥；</w:t>
            </w:r>
            <w:r>
              <w:t>危险废物主要为</w:t>
            </w:r>
            <w:r>
              <w:rPr>
                <w:rFonts w:hint="eastAsia"/>
              </w:rPr>
              <w:t>废油、废活性炭、废催化剂。</w:t>
            </w:r>
          </w:p>
          <w:p w14:paraId="3262C929">
            <w:pPr>
              <w:spacing w:line="440" w:lineRule="exact"/>
              <w:ind w:firstLine="482" w:firstLineChars="200"/>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1、一般固体废物</w:t>
            </w:r>
          </w:p>
          <w:p w14:paraId="12CBF44D">
            <w:pPr>
              <w:spacing w:line="440" w:lineRule="exact"/>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（1）</w:t>
            </w:r>
            <w:r>
              <w:rPr>
                <w:rFonts w:hint="eastAsia"/>
                <w:color w:val="000000" w:themeColor="text1"/>
                <w:sz w:val="24"/>
                <w:lang w:val="zh-CN"/>
                <w14:textFill>
                  <w14:solidFill>
                    <w14:schemeClr w14:val="tx1"/>
                  </w14:solidFill>
                </w14:textFill>
              </w:rPr>
              <w:t>废边角料</w:t>
            </w:r>
          </w:p>
          <w:p w14:paraId="3567EF9C">
            <w:pPr>
              <w:adjustRightInd w:val="0"/>
              <w:snapToGrid w:val="0"/>
              <w:spacing w:line="460" w:lineRule="exact"/>
              <w:ind w:firstLine="480" w:firstLineChars="200"/>
              <w:textAlignment w:val="baseline"/>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本项目造粒工序会产生废边角料，类比企业现有工程，本项目废边角料产生量约为</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t/a，废边角料集中收集后回用于造粒工序</w:t>
            </w:r>
            <w:r>
              <w:rPr>
                <w:color w:val="000000" w:themeColor="text1"/>
                <w:sz w:val="24"/>
                <w:lang w:val="zh-CN"/>
                <w14:textFill>
                  <w14:solidFill>
                    <w14:schemeClr w14:val="tx1"/>
                  </w14:solidFill>
                </w14:textFill>
              </w:rPr>
              <w:t>。</w:t>
            </w:r>
          </w:p>
          <w:p w14:paraId="6F601201">
            <w:pPr>
              <w:pStyle w:val="28"/>
              <w:ind w:firstLine="480"/>
              <w:rPr>
                <w:lang w:val="zh-CN"/>
              </w:rPr>
            </w:pPr>
            <w:r>
              <w:rPr>
                <w:rFonts w:hint="eastAsia"/>
                <w:lang w:val="zh-CN"/>
              </w:rPr>
              <w:t>（</w:t>
            </w:r>
            <w:r>
              <w:rPr>
                <w:rFonts w:hint="eastAsia"/>
              </w:rPr>
              <w:t>2</w:t>
            </w:r>
            <w:r>
              <w:rPr>
                <w:rFonts w:hint="eastAsia"/>
                <w:lang w:val="zh-CN"/>
              </w:rPr>
              <w:t>）</w:t>
            </w:r>
            <w:r>
              <w:rPr>
                <w:rFonts w:hint="eastAsia"/>
              </w:rPr>
              <w:t>废滤网</w:t>
            </w:r>
          </w:p>
          <w:p w14:paraId="539FA480">
            <w:pPr>
              <w:spacing w:line="440" w:lineRule="exact"/>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本项目在熔融挤出过程使用过滤网，使用</w:t>
            </w:r>
            <w:r>
              <w:rPr>
                <w:rStyle w:val="27"/>
                <w:rFonts w:hint="eastAsia"/>
              </w:rPr>
              <w:t>一段时间后，过滤网上会沾上未被利用处理的废塑料杂质，需要更换。类比企业现有工程，本项目废滤网年产生</w:t>
            </w:r>
            <w:r>
              <w:rPr>
                <w:rFonts w:hint="eastAsia"/>
                <w:color w:val="000000" w:themeColor="text1"/>
                <w:sz w:val="24"/>
                <w:lang w:val="zh-CN"/>
                <w14:textFill>
                  <w14:solidFill>
                    <w14:schemeClr w14:val="tx1"/>
                  </w14:solidFill>
                </w14:textFill>
              </w:rPr>
              <w:t>量约</w:t>
            </w:r>
            <w:r>
              <w:rPr>
                <w:color w:val="000000" w:themeColor="text1"/>
                <w:sz w:val="24"/>
                <w:lang w:val="zh-CN"/>
                <w14:textFill>
                  <w14:solidFill>
                    <w14:schemeClr w14:val="tx1"/>
                  </w14:solidFill>
                </w14:textFill>
              </w:rPr>
              <w:t>3</w:t>
            </w:r>
            <w:r>
              <w:rPr>
                <w:rFonts w:hint="eastAsia"/>
                <w:color w:val="000000" w:themeColor="text1"/>
                <w:sz w:val="24"/>
                <w:lang w:val="zh-CN"/>
                <w14:textFill>
                  <w14:solidFill>
                    <w14:schemeClr w14:val="tx1"/>
                  </w14:solidFill>
                </w14:textFill>
              </w:rPr>
              <w:t>t。根据《废塑料加工利用污染防治管理规定》，废滤网杂质应定期委托有处理能力且符合环保要求的企业进行处理。评价提出，废滤网收集至一般固废暂存间暂存后，定期委托有处理能力且符合环保要求的企业进行处理</w:t>
            </w:r>
            <w:r>
              <w:rPr>
                <w:color w:val="000000" w:themeColor="text1"/>
                <w:sz w:val="24"/>
                <w:lang w:val="zh-CN"/>
                <w14:textFill>
                  <w14:solidFill>
                    <w14:schemeClr w14:val="tx1"/>
                  </w14:solidFill>
                </w14:textFill>
              </w:rPr>
              <w:t>。</w:t>
            </w:r>
          </w:p>
          <w:p w14:paraId="2E76B152">
            <w:pPr>
              <w:spacing w:line="440" w:lineRule="exact"/>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lang w:val="zh-CN"/>
                <w14:textFill>
                  <w14:solidFill>
                    <w14:schemeClr w14:val="tx1"/>
                  </w14:solidFill>
                </w14:textFill>
              </w:rPr>
              <w:t>）</w:t>
            </w:r>
            <w:r>
              <w:rPr>
                <w:rFonts w:hint="eastAsia"/>
                <w:color w:val="000000" w:themeColor="text1"/>
                <w:sz w:val="24"/>
                <w:lang w:val="zh-CN"/>
                <w14:textFill>
                  <w14:solidFill>
                    <w14:schemeClr w14:val="tx1"/>
                  </w14:solidFill>
                </w14:textFill>
              </w:rPr>
              <w:t>污泥</w:t>
            </w:r>
          </w:p>
          <w:p w14:paraId="1A7D6312">
            <w:pPr>
              <w:spacing w:line="440" w:lineRule="exact"/>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一体化污水处理站运行一段时间后会产生污泥，主要成分为泥沙，评价要求将其通过板框压滤机脱水。</w:t>
            </w:r>
            <w:r>
              <w:rPr>
                <w:rStyle w:val="27"/>
                <w:rFonts w:hint="eastAsia"/>
              </w:rPr>
              <w:t>类比企业现有工程，本项目</w:t>
            </w:r>
            <w:r>
              <w:rPr>
                <w:rFonts w:hint="eastAsia"/>
                <w:color w:val="000000" w:themeColor="text1"/>
                <w:sz w:val="24"/>
                <w:lang w:val="zh-CN"/>
                <w14:textFill>
                  <w14:solidFill>
                    <w14:schemeClr w14:val="tx1"/>
                  </w14:solidFill>
                </w14:textFill>
              </w:rPr>
              <w:t>脱水后的污泥产生量约为</w:t>
            </w:r>
            <w:r>
              <w:rPr>
                <w:color w:val="000000" w:themeColor="text1"/>
                <w:sz w:val="24"/>
                <w:lang w:val="zh-CN"/>
                <w14:textFill>
                  <w14:solidFill>
                    <w14:schemeClr w14:val="tx1"/>
                  </w14:solidFill>
                </w14:textFill>
              </w:rPr>
              <w:t>24</w:t>
            </w:r>
            <w:r>
              <w:rPr>
                <w:rFonts w:hint="eastAsia"/>
                <w:color w:val="000000" w:themeColor="text1"/>
                <w:sz w:val="24"/>
                <w:lang w:val="zh-CN"/>
                <w14:textFill>
                  <w14:solidFill>
                    <w14:schemeClr w14:val="tx1"/>
                  </w14:solidFill>
                </w14:textFill>
              </w:rPr>
              <w:t>t/a（含水率为60%），在一般固废暂存间暂存后定期委托环卫部门处理</w:t>
            </w:r>
            <w:r>
              <w:rPr>
                <w:color w:val="000000" w:themeColor="text1"/>
                <w:sz w:val="24"/>
                <w:lang w:val="zh-CN"/>
                <w14:textFill>
                  <w14:solidFill>
                    <w14:schemeClr w14:val="tx1"/>
                  </w14:solidFill>
                </w14:textFill>
              </w:rPr>
              <w:t>。</w:t>
            </w:r>
          </w:p>
          <w:p w14:paraId="574E5991">
            <w:pPr>
              <w:spacing w:line="440" w:lineRule="exact"/>
              <w:ind w:firstLine="482" w:firstLineChars="200"/>
              <w:rPr>
                <w:b/>
                <w:bCs/>
                <w:color w:val="000000" w:themeColor="text1"/>
                <w:sz w:val="24"/>
                <w:lang w:val="zh-CN"/>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lang w:val="zh-CN"/>
                <w14:textFill>
                  <w14:solidFill>
                    <w14:schemeClr w14:val="tx1"/>
                  </w14:solidFill>
                </w14:textFill>
              </w:rPr>
              <w:t>、</w:t>
            </w:r>
            <w:r>
              <w:rPr>
                <w:rFonts w:hint="eastAsia"/>
                <w:b/>
                <w:bCs/>
                <w:color w:val="000000" w:themeColor="text1"/>
                <w:sz w:val="24"/>
                <w:lang w:val="zh-CN"/>
                <w14:textFill>
                  <w14:solidFill>
                    <w14:schemeClr w14:val="tx1"/>
                  </w14:solidFill>
                </w14:textFill>
              </w:rPr>
              <w:t>危险</w:t>
            </w:r>
            <w:r>
              <w:rPr>
                <w:b/>
                <w:bCs/>
                <w:color w:val="000000" w:themeColor="text1"/>
                <w:sz w:val="24"/>
                <w:lang w:val="zh-CN"/>
                <w14:textFill>
                  <w14:solidFill>
                    <w14:schemeClr w14:val="tx1"/>
                  </w14:solidFill>
                </w14:textFill>
              </w:rPr>
              <w:t>废物</w:t>
            </w:r>
          </w:p>
          <w:p w14:paraId="73CEFA12">
            <w:pPr>
              <w:pStyle w:val="28"/>
              <w:ind w:firstLine="480"/>
            </w:pPr>
            <w:r>
              <w:rPr>
                <w:rFonts w:hint="eastAsia"/>
              </w:rPr>
              <w:t>（1）废油</w:t>
            </w:r>
          </w:p>
          <w:p w14:paraId="665C820B">
            <w:pPr>
              <w:pStyle w:val="28"/>
              <w:ind w:firstLine="480"/>
            </w:pPr>
            <w:r>
              <w:rPr>
                <w:rFonts w:hint="eastAsia"/>
              </w:rPr>
              <w:t>本项目产生的有机废气经工业高压静电油烟净化装置处理后会产生废油，根据前文分析可知，废油产生量为0.1282t/a。经查阅《国家危险废物名录（2021年版）》，废油属于HW09油/水、烃/水混合物或乳化液中的“900-007-09”其他工艺过程中产生的油/水、烃/水混合物或乳化液。评价提出，废油采用专用密闭容器收集后在危废暂存间暂存，定期交由有相应危废处理资质单位安全处置。</w:t>
            </w:r>
          </w:p>
          <w:p w14:paraId="05F5C36E">
            <w:pPr>
              <w:pStyle w:val="28"/>
              <w:ind w:firstLine="480"/>
            </w:pPr>
            <w:r>
              <w:rPr>
                <w:rFonts w:hint="eastAsia"/>
              </w:rPr>
              <w:t>（2）废活性炭</w:t>
            </w:r>
          </w:p>
          <w:p w14:paraId="405707DC">
            <w:pPr>
              <w:pStyle w:val="28"/>
              <w:ind w:firstLine="480"/>
            </w:pPr>
            <w:r>
              <w:rPr>
                <w:rFonts w:hint="eastAsia"/>
              </w:rPr>
              <w:t>本项目产生的有机废气经活性炭吸附/脱附+催化燃烧装置处理后排放，活性炭需定期更换。</w:t>
            </w:r>
          </w:p>
          <w:p w14:paraId="65D565E6">
            <w:pPr>
              <w:pStyle w:val="28"/>
              <w:ind w:firstLine="480"/>
            </w:pPr>
            <w:r>
              <w:rPr>
                <w:rFonts w:hint="eastAsia"/>
              </w:rPr>
              <w:t>本项目“活性炭吸附/脱附+催化燃烧装置”共设置2个活性炭床，一个吸附，一个脱附，每个活性炭床填充量为0.5t。根据相关资料，1t的活性炭可吸附250~300kg有机废气，本次评价取300kg，则初始0.5t活性炭可吸附0.15t有机废气。活性炭经多次脱附后吸附能力逐渐降低，当低于50%时需要更换活性炭。根据相关资料，活性炭每次吸附-脱附会导致5%左右的能力失活，因此再生14次左右后需要更换活性炭，更换时活性炭的吸附能力为0.5t活性炭可吸附0.075t有机废气。每套活性炭吸附装置可吸附有机物1.6101t，即两套活性炭吸附装置可吸附有机物3.2203t。根据《吸附法工业有机废气治理工程技术规范》（HJ2026-2013），吸附装置的净化效率不得低于90%，根据评价最不利原则，本项目活性炭吸附装置效率以90%计，非甲烷总烃收集量为0.5081t/a，则本项目非甲烷总烃吸附量为0.4573t/a，即每年约需要更换1次活性炭，废活性炭产生量约为1t/a（进行脱附后暂存）。</w:t>
            </w:r>
          </w:p>
          <w:p w14:paraId="46B326BC">
            <w:pPr>
              <w:pStyle w:val="28"/>
              <w:ind w:firstLine="480"/>
            </w:pPr>
            <w:r>
              <w:rPr>
                <w:rFonts w:hint="eastAsia"/>
              </w:rPr>
              <w:t>根据《国家危险废物名录》（2021年版），废活性炭属于HW49其他废物非特定行业中的900-0</w:t>
            </w:r>
            <w:r>
              <w:t>39</w:t>
            </w:r>
            <w:r>
              <w:rPr>
                <w:rFonts w:hint="eastAsia"/>
              </w:rPr>
              <w:t>-49烟气、VOCs治理过程（不包括餐饮行业油烟治理过程）产生的废活性炭，化学原料和化学制品脱色（不包括有机合成食品添加剂脱色）、除杂、净化过程产生的废活性炭（不包括900-405-06、772-005-18、261-053-29、265-002-29、384-003-29、387-001-29类废物）。评价提出，废活性炭采用专用密闭容器收集后在危废暂存间暂存，定期交由有相应危废处理资质单位安全处置。</w:t>
            </w:r>
          </w:p>
          <w:p w14:paraId="61E1CFA3">
            <w:pPr>
              <w:pStyle w:val="28"/>
              <w:ind w:firstLine="480"/>
            </w:pPr>
            <w:r>
              <w:rPr>
                <w:rFonts w:hint="eastAsia"/>
              </w:rPr>
              <w:t>（3）废催化剂</w:t>
            </w:r>
          </w:p>
          <w:p w14:paraId="2EE79C26">
            <w:pPr>
              <w:pStyle w:val="28"/>
              <w:ind w:firstLine="480"/>
            </w:pPr>
            <w:r>
              <w:rPr>
                <w:rFonts w:hint="eastAsia"/>
              </w:rPr>
              <w:t>本项目产生的有机废气经活性炭吸附/脱附+催化燃烧装置处理后排放，催化剂定期更换，约5年更换一次，每次更换量约0.0</w:t>
            </w:r>
            <w:r>
              <w:t>5</w:t>
            </w:r>
            <w:r>
              <w:rPr>
                <w:rFonts w:hint="eastAsia"/>
              </w:rPr>
              <w:t>t。经查阅《国家危险废物名录（2021 年版）》，无对应的危险废物代码，考虑其危险特性，参照《国家危险废物名录》（2021年版）中HW</w:t>
            </w:r>
            <w:r>
              <w:t>50</w:t>
            </w:r>
            <w:r>
              <w:rPr>
                <w:rFonts w:hint="eastAsia"/>
              </w:rPr>
              <w:t>废催化剂 环境治理业</w:t>
            </w:r>
            <w:r>
              <w:t>772</w:t>
            </w:r>
            <w:r>
              <w:rPr>
                <w:rFonts w:hint="eastAsia"/>
              </w:rPr>
              <w:t>-0</w:t>
            </w:r>
            <w:r>
              <w:t>07</w:t>
            </w:r>
            <w:r>
              <w:rPr>
                <w:rFonts w:hint="eastAsia"/>
              </w:rPr>
              <w:t>-</w:t>
            </w:r>
            <w:r>
              <w:t>50</w:t>
            </w:r>
            <w:r>
              <w:rPr>
                <w:rFonts w:hint="eastAsia"/>
              </w:rPr>
              <w:t>（烟气脱硝过程中产生的废钒钛系催化剂）。评价提出，废催化剂采用专用密闭容器收集后在危废暂存间暂存，定期交由有相应危废处理资质单位安全处置。</w:t>
            </w:r>
          </w:p>
          <w:p w14:paraId="065E21EB">
            <w:pPr>
              <w:pStyle w:val="67"/>
              <w:ind w:firstLine="480"/>
              <w:rPr>
                <w:lang w:val="zh-CN"/>
              </w:rPr>
            </w:pPr>
            <w:r>
              <w:rPr>
                <w:lang w:val="zh-CN"/>
              </w:rPr>
              <w:t xml:space="preserve">                 固体废物详情一览表</w:t>
            </w:r>
          </w:p>
          <w:tbl>
            <w:tblPr>
              <w:tblStyle w:val="21"/>
              <w:tblW w:w="0" w:type="auto"/>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1"/>
              <w:gridCol w:w="1276"/>
              <w:gridCol w:w="1134"/>
              <w:gridCol w:w="1701"/>
              <w:gridCol w:w="3317"/>
            </w:tblGrid>
            <w:tr w14:paraId="4F76BA8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1" w:type="dxa"/>
                  <w:vAlign w:val="center"/>
                </w:tcPr>
                <w:p w14:paraId="6447EC1E">
                  <w:pPr>
                    <w:pStyle w:val="86"/>
                    <w:rPr>
                      <w:b/>
                      <w:bCs w:val="0"/>
                    </w:rPr>
                  </w:pPr>
                  <w:r>
                    <w:rPr>
                      <w:b/>
                      <w:bCs w:val="0"/>
                    </w:rPr>
                    <w:t>排放源</w:t>
                  </w:r>
                </w:p>
              </w:tc>
              <w:tc>
                <w:tcPr>
                  <w:tcW w:w="1276" w:type="dxa"/>
                  <w:vAlign w:val="center"/>
                </w:tcPr>
                <w:p w14:paraId="363A1A22">
                  <w:pPr>
                    <w:pStyle w:val="86"/>
                    <w:rPr>
                      <w:b/>
                      <w:bCs w:val="0"/>
                    </w:rPr>
                  </w:pPr>
                  <w:r>
                    <w:rPr>
                      <w:b/>
                      <w:bCs w:val="0"/>
                    </w:rPr>
                    <w:t>固废名称</w:t>
                  </w:r>
                </w:p>
              </w:tc>
              <w:tc>
                <w:tcPr>
                  <w:tcW w:w="1134" w:type="dxa"/>
                  <w:vAlign w:val="center"/>
                </w:tcPr>
                <w:p w14:paraId="6E095F05">
                  <w:pPr>
                    <w:pStyle w:val="86"/>
                    <w:rPr>
                      <w:b/>
                      <w:bCs w:val="0"/>
                    </w:rPr>
                  </w:pPr>
                  <w:r>
                    <w:rPr>
                      <w:b/>
                      <w:bCs w:val="0"/>
                    </w:rPr>
                    <w:t>固废性质</w:t>
                  </w:r>
                </w:p>
              </w:tc>
              <w:tc>
                <w:tcPr>
                  <w:tcW w:w="1701" w:type="dxa"/>
                  <w:vAlign w:val="center"/>
                </w:tcPr>
                <w:p w14:paraId="788F2665">
                  <w:pPr>
                    <w:pStyle w:val="86"/>
                    <w:rPr>
                      <w:b/>
                      <w:bCs w:val="0"/>
                    </w:rPr>
                  </w:pPr>
                  <w:r>
                    <w:rPr>
                      <w:b/>
                      <w:bCs w:val="0"/>
                    </w:rPr>
                    <w:t>产生量</w:t>
                  </w:r>
                </w:p>
              </w:tc>
              <w:tc>
                <w:tcPr>
                  <w:tcW w:w="3317" w:type="dxa"/>
                  <w:vAlign w:val="center"/>
                </w:tcPr>
                <w:p w14:paraId="26C0D9F8">
                  <w:pPr>
                    <w:pStyle w:val="86"/>
                    <w:rPr>
                      <w:b/>
                      <w:bCs w:val="0"/>
                    </w:rPr>
                  </w:pPr>
                  <w:r>
                    <w:rPr>
                      <w:b/>
                      <w:bCs w:val="0"/>
                    </w:rPr>
                    <w:t>处理措施</w:t>
                  </w:r>
                </w:p>
              </w:tc>
            </w:tr>
            <w:tr w14:paraId="73F2BFE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1" w:type="dxa"/>
                  <w:vAlign w:val="center"/>
                </w:tcPr>
                <w:p w14:paraId="18DE0F01">
                  <w:pPr>
                    <w:pStyle w:val="86"/>
                  </w:pPr>
                  <w:r>
                    <w:rPr>
                      <w:rFonts w:hint="eastAsia"/>
                    </w:rPr>
                    <w:t>造粒工序</w:t>
                  </w:r>
                </w:p>
              </w:tc>
              <w:tc>
                <w:tcPr>
                  <w:tcW w:w="1276" w:type="dxa"/>
                  <w:vAlign w:val="center"/>
                </w:tcPr>
                <w:p w14:paraId="19F263EB">
                  <w:pPr>
                    <w:pStyle w:val="86"/>
                  </w:pPr>
                  <w:r>
                    <w:rPr>
                      <w:rFonts w:hint="eastAsia"/>
                    </w:rPr>
                    <w:t>废边角料</w:t>
                  </w:r>
                </w:p>
              </w:tc>
              <w:tc>
                <w:tcPr>
                  <w:tcW w:w="1134" w:type="dxa"/>
                  <w:vMerge w:val="restart"/>
                  <w:vAlign w:val="center"/>
                </w:tcPr>
                <w:p w14:paraId="02EFFDF3">
                  <w:pPr>
                    <w:pStyle w:val="86"/>
                  </w:pPr>
                  <w:r>
                    <w:t>一般固废</w:t>
                  </w:r>
                </w:p>
              </w:tc>
              <w:tc>
                <w:tcPr>
                  <w:tcW w:w="1701" w:type="dxa"/>
                  <w:vAlign w:val="center"/>
                </w:tcPr>
                <w:p w14:paraId="4BEE0302">
                  <w:pPr>
                    <w:pStyle w:val="86"/>
                  </w:pPr>
                  <w:r>
                    <w:t>4</w:t>
                  </w:r>
                  <w:r>
                    <w:rPr>
                      <w:rFonts w:hint="eastAsia"/>
                    </w:rPr>
                    <w:t>t/a</w:t>
                  </w:r>
                </w:p>
              </w:tc>
              <w:tc>
                <w:tcPr>
                  <w:tcW w:w="3317" w:type="dxa"/>
                  <w:vAlign w:val="center"/>
                </w:tcPr>
                <w:p w14:paraId="04F63242">
                  <w:pPr>
                    <w:pStyle w:val="86"/>
                  </w:pPr>
                  <w:r>
                    <w:rPr>
                      <w:rFonts w:hint="eastAsia"/>
                    </w:rPr>
                    <w:t>集中收集后回用于造粒工序</w:t>
                  </w:r>
                </w:p>
              </w:tc>
            </w:tr>
            <w:tr w14:paraId="1AE740B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1" w:type="dxa"/>
                  <w:vAlign w:val="center"/>
                </w:tcPr>
                <w:p w14:paraId="42B7F387">
                  <w:pPr>
                    <w:pStyle w:val="86"/>
                  </w:pPr>
                  <w:r>
                    <w:rPr>
                      <w:rFonts w:hint="eastAsia"/>
                    </w:rPr>
                    <w:t>熔融挤出</w:t>
                  </w:r>
                </w:p>
              </w:tc>
              <w:tc>
                <w:tcPr>
                  <w:tcW w:w="1276" w:type="dxa"/>
                  <w:vAlign w:val="center"/>
                </w:tcPr>
                <w:p w14:paraId="26066553">
                  <w:pPr>
                    <w:pStyle w:val="86"/>
                  </w:pPr>
                  <w:r>
                    <w:rPr>
                      <w:rFonts w:hint="eastAsia"/>
                    </w:rPr>
                    <w:t>废滤网</w:t>
                  </w:r>
                </w:p>
              </w:tc>
              <w:tc>
                <w:tcPr>
                  <w:tcW w:w="1134" w:type="dxa"/>
                  <w:vMerge w:val="continue"/>
                  <w:vAlign w:val="center"/>
                </w:tcPr>
                <w:p w14:paraId="5E69EE7A">
                  <w:pPr>
                    <w:pStyle w:val="86"/>
                  </w:pPr>
                </w:p>
              </w:tc>
              <w:tc>
                <w:tcPr>
                  <w:tcW w:w="1701" w:type="dxa"/>
                  <w:vAlign w:val="center"/>
                </w:tcPr>
                <w:p w14:paraId="20EEA98B">
                  <w:pPr>
                    <w:pStyle w:val="86"/>
                  </w:pPr>
                  <w:r>
                    <w:t>3</w:t>
                  </w:r>
                  <w:r>
                    <w:rPr>
                      <w:rFonts w:hint="eastAsia"/>
                    </w:rPr>
                    <w:t>t/a</w:t>
                  </w:r>
                </w:p>
              </w:tc>
              <w:tc>
                <w:tcPr>
                  <w:tcW w:w="3317" w:type="dxa"/>
                  <w:vAlign w:val="center"/>
                </w:tcPr>
                <w:p w14:paraId="7EEB108F">
                  <w:pPr>
                    <w:pStyle w:val="86"/>
                  </w:pPr>
                  <w:r>
                    <w:rPr>
                      <w:rFonts w:hint="eastAsia"/>
                    </w:rPr>
                    <w:t>一般固废暂存间暂存后，定期委托有处理能力且符合环保要求的企业进行处理</w:t>
                  </w:r>
                </w:p>
              </w:tc>
            </w:tr>
            <w:tr w14:paraId="1C9BDBF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1" w:type="dxa"/>
                  <w:vAlign w:val="center"/>
                </w:tcPr>
                <w:p w14:paraId="34A9EB85">
                  <w:pPr>
                    <w:pStyle w:val="86"/>
                  </w:pPr>
                  <w:r>
                    <w:rPr>
                      <w:rFonts w:hint="eastAsia"/>
                    </w:rPr>
                    <w:t>污水处理站</w:t>
                  </w:r>
                </w:p>
              </w:tc>
              <w:tc>
                <w:tcPr>
                  <w:tcW w:w="1276" w:type="dxa"/>
                  <w:vAlign w:val="center"/>
                </w:tcPr>
                <w:p w14:paraId="75BD14A5">
                  <w:pPr>
                    <w:pStyle w:val="86"/>
                  </w:pPr>
                  <w:r>
                    <w:rPr>
                      <w:rFonts w:hint="eastAsia"/>
                    </w:rPr>
                    <w:t>污泥</w:t>
                  </w:r>
                </w:p>
              </w:tc>
              <w:tc>
                <w:tcPr>
                  <w:tcW w:w="1134" w:type="dxa"/>
                  <w:vMerge w:val="continue"/>
                  <w:vAlign w:val="center"/>
                </w:tcPr>
                <w:p w14:paraId="71CDFB25">
                  <w:pPr>
                    <w:pStyle w:val="86"/>
                  </w:pPr>
                </w:p>
              </w:tc>
              <w:tc>
                <w:tcPr>
                  <w:tcW w:w="1701" w:type="dxa"/>
                  <w:vAlign w:val="center"/>
                </w:tcPr>
                <w:p w14:paraId="0628A85D">
                  <w:pPr>
                    <w:pStyle w:val="86"/>
                  </w:pPr>
                  <w:r>
                    <w:t>24</w:t>
                  </w:r>
                  <w:r>
                    <w:rPr>
                      <w:rFonts w:hint="eastAsia"/>
                    </w:rPr>
                    <w:t>t/a</w:t>
                  </w:r>
                </w:p>
              </w:tc>
              <w:tc>
                <w:tcPr>
                  <w:tcW w:w="3317" w:type="dxa"/>
                  <w:vAlign w:val="center"/>
                </w:tcPr>
                <w:p w14:paraId="60CFBD3E">
                  <w:pPr>
                    <w:pStyle w:val="86"/>
                  </w:pPr>
                  <w:r>
                    <w:rPr>
                      <w:rFonts w:hint="eastAsia"/>
                    </w:rPr>
                    <w:t>板框压滤机脱水后采用桶装储存并于一般固废暂存间暂存，定期委托环卫部门处理。</w:t>
                  </w:r>
                </w:p>
              </w:tc>
            </w:tr>
            <w:tr w14:paraId="1C05047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1" w:type="dxa"/>
                  <w:vAlign w:val="center"/>
                </w:tcPr>
                <w:p w14:paraId="2252C13E">
                  <w:pPr>
                    <w:pStyle w:val="86"/>
                  </w:pPr>
                  <w:r>
                    <w:rPr>
                      <w:rFonts w:hint="eastAsia"/>
                    </w:rPr>
                    <w:t>废气治理</w:t>
                  </w:r>
                </w:p>
              </w:tc>
              <w:tc>
                <w:tcPr>
                  <w:tcW w:w="1276" w:type="dxa"/>
                  <w:vAlign w:val="center"/>
                </w:tcPr>
                <w:p w14:paraId="5BCC1C92">
                  <w:pPr>
                    <w:pStyle w:val="86"/>
                  </w:pPr>
                  <w:r>
                    <w:rPr>
                      <w:rFonts w:hint="eastAsia"/>
                    </w:rPr>
                    <w:t>废油</w:t>
                  </w:r>
                </w:p>
              </w:tc>
              <w:tc>
                <w:tcPr>
                  <w:tcW w:w="1134" w:type="dxa"/>
                  <w:vMerge w:val="restart"/>
                  <w:vAlign w:val="center"/>
                </w:tcPr>
                <w:p w14:paraId="4070FDF5">
                  <w:pPr>
                    <w:pStyle w:val="86"/>
                  </w:pPr>
                  <w:r>
                    <w:rPr>
                      <w:rFonts w:hint="eastAsia"/>
                    </w:rPr>
                    <w:t>危险废物</w:t>
                  </w:r>
                </w:p>
              </w:tc>
              <w:tc>
                <w:tcPr>
                  <w:tcW w:w="1701" w:type="dxa"/>
                  <w:vAlign w:val="center"/>
                </w:tcPr>
                <w:p w14:paraId="49CB6F94">
                  <w:pPr>
                    <w:pStyle w:val="86"/>
                  </w:pPr>
                  <w:r>
                    <w:rPr>
                      <w:rFonts w:hint="eastAsia"/>
                    </w:rPr>
                    <w:t>0.1282t/a</w:t>
                  </w:r>
                </w:p>
              </w:tc>
              <w:tc>
                <w:tcPr>
                  <w:tcW w:w="3317" w:type="dxa"/>
                  <w:vMerge w:val="restart"/>
                  <w:vAlign w:val="center"/>
                </w:tcPr>
                <w:p w14:paraId="1C8456DC">
                  <w:pPr>
                    <w:pStyle w:val="86"/>
                  </w:pPr>
                  <w:r>
                    <w:rPr>
                      <w:rFonts w:hint="eastAsia"/>
                    </w:rPr>
                    <w:t>采用专用密闭容器收集后在危废暂存间暂存，定期送至有相应资质的危废处理单位处置。</w:t>
                  </w:r>
                </w:p>
              </w:tc>
            </w:tr>
            <w:tr w14:paraId="0031AAF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1" w:type="dxa"/>
                  <w:vAlign w:val="center"/>
                </w:tcPr>
                <w:p w14:paraId="0788710B">
                  <w:pPr>
                    <w:pStyle w:val="86"/>
                  </w:pPr>
                  <w:r>
                    <w:rPr>
                      <w:rFonts w:hint="eastAsia"/>
                    </w:rPr>
                    <w:t>废气治理</w:t>
                  </w:r>
                </w:p>
              </w:tc>
              <w:tc>
                <w:tcPr>
                  <w:tcW w:w="1276" w:type="dxa"/>
                  <w:vAlign w:val="center"/>
                </w:tcPr>
                <w:p w14:paraId="18656E7E">
                  <w:pPr>
                    <w:pStyle w:val="86"/>
                  </w:pPr>
                  <w:r>
                    <w:rPr>
                      <w:rFonts w:hint="eastAsia"/>
                    </w:rPr>
                    <w:t>废活性炭</w:t>
                  </w:r>
                </w:p>
              </w:tc>
              <w:tc>
                <w:tcPr>
                  <w:tcW w:w="1134" w:type="dxa"/>
                  <w:vMerge w:val="continue"/>
                  <w:vAlign w:val="center"/>
                </w:tcPr>
                <w:p w14:paraId="064C93CB">
                  <w:pPr>
                    <w:pStyle w:val="86"/>
                  </w:pPr>
                </w:p>
              </w:tc>
              <w:tc>
                <w:tcPr>
                  <w:tcW w:w="1701" w:type="dxa"/>
                  <w:vAlign w:val="center"/>
                </w:tcPr>
                <w:p w14:paraId="42CE992E">
                  <w:pPr>
                    <w:pStyle w:val="86"/>
                  </w:pPr>
                  <w:r>
                    <w:t>1</w:t>
                  </w:r>
                  <w:r>
                    <w:rPr>
                      <w:rFonts w:hint="eastAsia"/>
                    </w:rPr>
                    <w:t>t/a</w:t>
                  </w:r>
                </w:p>
              </w:tc>
              <w:tc>
                <w:tcPr>
                  <w:tcW w:w="3317" w:type="dxa"/>
                  <w:vMerge w:val="continue"/>
                  <w:vAlign w:val="center"/>
                </w:tcPr>
                <w:p w14:paraId="0AD749AA">
                  <w:pPr>
                    <w:pStyle w:val="86"/>
                  </w:pPr>
                </w:p>
              </w:tc>
            </w:tr>
            <w:tr w14:paraId="00A05A0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1" w:type="dxa"/>
                  <w:vAlign w:val="center"/>
                </w:tcPr>
                <w:p w14:paraId="0C78A604">
                  <w:pPr>
                    <w:pStyle w:val="86"/>
                  </w:pPr>
                  <w:r>
                    <w:rPr>
                      <w:rFonts w:hint="eastAsia"/>
                    </w:rPr>
                    <w:t>废气治理</w:t>
                  </w:r>
                </w:p>
              </w:tc>
              <w:tc>
                <w:tcPr>
                  <w:tcW w:w="1276" w:type="dxa"/>
                  <w:vAlign w:val="center"/>
                </w:tcPr>
                <w:p w14:paraId="0B85AA98">
                  <w:pPr>
                    <w:pStyle w:val="86"/>
                  </w:pPr>
                  <w:r>
                    <w:rPr>
                      <w:rFonts w:hint="eastAsia"/>
                    </w:rPr>
                    <w:t>废催化剂</w:t>
                  </w:r>
                </w:p>
              </w:tc>
              <w:tc>
                <w:tcPr>
                  <w:tcW w:w="1134" w:type="dxa"/>
                  <w:vMerge w:val="continue"/>
                  <w:vAlign w:val="center"/>
                </w:tcPr>
                <w:p w14:paraId="21EE417C">
                  <w:pPr>
                    <w:pStyle w:val="86"/>
                  </w:pPr>
                </w:p>
              </w:tc>
              <w:tc>
                <w:tcPr>
                  <w:tcW w:w="1701" w:type="dxa"/>
                  <w:vAlign w:val="center"/>
                </w:tcPr>
                <w:p w14:paraId="4C52E613">
                  <w:pPr>
                    <w:pStyle w:val="86"/>
                  </w:pPr>
                  <w:r>
                    <w:t>0.05</w:t>
                  </w:r>
                  <w:r>
                    <w:rPr>
                      <w:rFonts w:hint="eastAsia"/>
                    </w:rPr>
                    <w:t>t/</w:t>
                  </w:r>
                  <w:r>
                    <w:t>5</w:t>
                  </w:r>
                  <w:r>
                    <w:rPr>
                      <w:rFonts w:hint="eastAsia"/>
                    </w:rPr>
                    <w:t>a</w:t>
                  </w:r>
                </w:p>
              </w:tc>
              <w:tc>
                <w:tcPr>
                  <w:tcW w:w="3317" w:type="dxa"/>
                  <w:vMerge w:val="continue"/>
                  <w:vAlign w:val="center"/>
                </w:tcPr>
                <w:p w14:paraId="23514A69">
                  <w:pPr>
                    <w:pStyle w:val="86"/>
                  </w:pPr>
                </w:p>
              </w:tc>
            </w:tr>
          </w:tbl>
          <w:p w14:paraId="61E0DE8D">
            <w:pPr>
              <w:pStyle w:val="28"/>
              <w:ind w:firstLine="480"/>
            </w:pPr>
          </w:p>
          <w:p w14:paraId="22AA03F4">
            <w:pPr>
              <w:pStyle w:val="67"/>
              <w:ind w:firstLine="480"/>
            </w:pPr>
            <w:r>
              <w:t xml:space="preserve">                   </w:t>
            </w:r>
            <w:r>
              <w:rPr>
                <w:lang w:val="zh-CN"/>
              </w:rPr>
              <w:t>一般固废汇总表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189"/>
              <w:gridCol w:w="1368"/>
              <w:gridCol w:w="1183"/>
              <w:gridCol w:w="993"/>
              <w:gridCol w:w="2748"/>
            </w:tblGrid>
            <w:tr w14:paraId="2AD628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Align w:val="center"/>
                </w:tcPr>
                <w:p w14:paraId="6F665977">
                  <w:pPr>
                    <w:pStyle w:val="86"/>
                    <w:rPr>
                      <w:b/>
                      <w:bCs w:val="0"/>
                    </w:rPr>
                  </w:pPr>
                  <w:r>
                    <w:rPr>
                      <w:b/>
                      <w:bCs w:val="0"/>
                    </w:rPr>
                    <w:t>排放源</w:t>
                  </w:r>
                </w:p>
              </w:tc>
              <w:tc>
                <w:tcPr>
                  <w:tcW w:w="1189" w:type="dxa"/>
                  <w:vAlign w:val="center"/>
                </w:tcPr>
                <w:p w14:paraId="44832DEB">
                  <w:pPr>
                    <w:pStyle w:val="86"/>
                    <w:rPr>
                      <w:b/>
                      <w:bCs w:val="0"/>
                    </w:rPr>
                  </w:pPr>
                  <w:r>
                    <w:rPr>
                      <w:b/>
                      <w:bCs w:val="0"/>
                    </w:rPr>
                    <w:t>固废名称</w:t>
                  </w:r>
                </w:p>
              </w:tc>
              <w:tc>
                <w:tcPr>
                  <w:tcW w:w="1368" w:type="dxa"/>
                  <w:vAlign w:val="center"/>
                </w:tcPr>
                <w:p w14:paraId="77856004">
                  <w:pPr>
                    <w:pStyle w:val="86"/>
                    <w:rPr>
                      <w:b/>
                      <w:bCs w:val="0"/>
                    </w:rPr>
                  </w:pPr>
                  <w:r>
                    <w:rPr>
                      <w:b/>
                      <w:bCs w:val="0"/>
                    </w:rPr>
                    <w:t>类别代码</w:t>
                  </w:r>
                </w:p>
              </w:tc>
              <w:tc>
                <w:tcPr>
                  <w:tcW w:w="1183" w:type="dxa"/>
                  <w:vAlign w:val="center"/>
                </w:tcPr>
                <w:p w14:paraId="52C17CE0">
                  <w:pPr>
                    <w:pStyle w:val="86"/>
                    <w:rPr>
                      <w:b/>
                      <w:bCs w:val="0"/>
                    </w:rPr>
                  </w:pPr>
                  <w:r>
                    <w:rPr>
                      <w:b/>
                      <w:bCs w:val="0"/>
                    </w:rPr>
                    <w:t>固废性质</w:t>
                  </w:r>
                </w:p>
              </w:tc>
              <w:tc>
                <w:tcPr>
                  <w:tcW w:w="993" w:type="dxa"/>
                  <w:vAlign w:val="center"/>
                </w:tcPr>
                <w:p w14:paraId="63E08E4A">
                  <w:pPr>
                    <w:pStyle w:val="86"/>
                    <w:rPr>
                      <w:b/>
                      <w:bCs w:val="0"/>
                    </w:rPr>
                  </w:pPr>
                  <w:r>
                    <w:rPr>
                      <w:b/>
                      <w:bCs w:val="0"/>
                    </w:rPr>
                    <w:t>产生量</w:t>
                  </w:r>
                </w:p>
              </w:tc>
              <w:tc>
                <w:tcPr>
                  <w:tcW w:w="2748" w:type="dxa"/>
                  <w:vAlign w:val="center"/>
                </w:tcPr>
                <w:p w14:paraId="38BFA2D2">
                  <w:pPr>
                    <w:pStyle w:val="86"/>
                    <w:rPr>
                      <w:b/>
                      <w:bCs w:val="0"/>
                    </w:rPr>
                  </w:pPr>
                  <w:r>
                    <w:rPr>
                      <w:b/>
                      <w:bCs w:val="0"/>
                    </w:rPr>
                    <w:t>处理措施</w:t>
                  </w:r>
                </w:p>
              </w:tc>
            </w:tr>
            <w:tr w14:paraId="2C310C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Align w:val="center"/>
                </w:tcPr>
                <w:p w14:paraId="74D80620">
                  <w:pPr>
                    <w:pStyle w:val="86"/>
                  </w:pPr>
                  <w:r>
                    <w:rPr>
                      <w:rFonts w:hint="eastAsia"/>
                    </w:rPr>
                    <w:t>造粒工序</w:t>
                  </w:r>
                </w:p>
              </w:tc>
              <w:tc>
                <w:tcPr>
                  <w:tcW w:w="1189" w:type="dxa"/>
                  <w:vAlign w:val="center"/>
                </w:tcPr>
                <w:p w14:paraId="1E6FE141">
                  <w:pPr>
                    <w:pStyle w:val="86"/>
                  </w:pPr>
                  <w:r>
                    <w:rPr>
                      <w:rFonts w:hint="eastAsia"/>
                    </w:rPr>
                    <w:t>废边角料</w:t>
                  </w:r>
                </w:p>
              </w:tc>
              <w:tc>
                <w:tcPr>
                  <w:tcW w:w="1368" w:type="dxa"/>
                  <w:vAlign w:val="center"/>
                </w:tcPr>
                <w:p w14:paraId="4521362E">
                  <w:pPr>
                    <w:pStyle w:val="86"/>
                  </w:pPr>
                  <w:r>
                    <w:t>900-003-S17</w:t>
                  </w:r>
                </w:p>
              </w:tc>
              <w:tc>
                <w:tcPr>
                  <w:tcW w:w="1183" w:type="dxa"/>
                  <w:vMerge w:val="restart"/>
                  <w:vAlign w:val="center"/>
                </w:tcPr>
                <w:p w14:paraId="26286C10">
                  <w:pPr>
                    <w:pStyle w:val="86"/>
                  </w:pPr>
                  <w:r>
                    <w:t>一般固废</w:t>
                  </w:r>
                </w:p>
              </w:tc>
              <w:tc>
                <w:tcPr>
                  <w:tcW w:w="993" w:type="dxa"/>
                  <w:vAlign w:val="center"/>
                </w:tcPr>
                <w:p w14:paraId="77C6641F">
                  <w:pPr>
                    <w:pStyle w:val="86"/>
                  </w:pPr>
                  <w:r>
                    <w:t>4</w:t>
                  </w:r>
                  <w:r>
                    <w:rPr>
                      <w:rFonts w:hint="eastAsia"/>
                    </w:rPr>
                    <w:t>t/a</w:t>
                  </w:r>
                </w:p>
              </w:tc>
              <w:tc>
                <w:tcPr>
                  <w:tcW w:w="2748" w:type="dxa"/>
                  <w:vAlign w:val="center"/>
                </w:tcPr>
                <w:p w14:paraId="10FBEFF4">
                  <w:pPr>
                    <w:pStyle w:val="86"/>
                  </w:pPr>
                  <w:r>
                    <w:rPr>
                      <w:rFonts w:hint="eastAsia"/>
                    </w:rPr>
                    <w:t>集中收集后回用于造粒工序</w:t>
                  </w:r>
                </w:p>
              </w:tc>
            </w:tr>
            <w:tr w14:paraId="4AEBC7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Align w:val="center"/>
                </w:tcPr>
                <w:p w14:paraId="70B2BE31">
                  <w:pPr>
                    <w:pStyle w:val="86"/>
                  </w:pPr>
                  <w:r>
                    <w:rPr>
                      <w:rFonts w:hint="eastAsia"/>
                    </w:rPr>
                    <w:t>熔融挤出</w:t>
                  </w:r>
                </w:p>
              </w:tc>
              <w:tc>
                <w:tcPr>
                  <w:tcW w:w="1189" w:type="dxa"/>
                  <w:vAlign w:val="center"/>
                </w:tcPr>
                <w:p w14:paraId="1437492D">
                  <w:pPr>
                    <w:pStyle w:val="86"/>
                  </w:pPr>
                  <w:r>
                    <w:rPr>
                      <w:rFonts w:hint="eastAsia"/>
                    </w:rPr>
                    <w:t>废滤网</w:t>
                  </w:r>
                </w:p>
              </w:tc>
              <w:tc>
                <w:tcPr>
                  <w:tcW w:w="1368" w:type="dxa"/>
                  <w:vAlign w:val="center"/>
                </w:tcPr>
                <w:p w14:paraId="27FF0210">
                  <w:pPr>
                    <w:pStyle w:val="86"/>
                  </w:pPr>
                  <w:r>
                    <w:rPr>
                      <w:rFonts w:hint="eastAsia"/>
                    </w:rPr>
                    <w:t>4</w:t>
                  </w:r>
                  <w:r>
                    <w:t>22-001-99</w:t>
                  </w:r>
                </w:p>
              </w:tc>
              <w:tc>
                <w:tcPr>
                  <w:tcW w:w="1183" w:type="dxa"/>
                  <w:vMerge w:val="continue"/>
                  <w:vAlign w:val="center"/>
                </w:tcPr>
                <w:p w14:paraId="7CFEFAEC">
                  <w:pPr>
                    <w:pStyle w:val="86"/>
                  </w:pPr>
                </w:p>
              </w:tc>
              <w:tc>
                <w:tcPr>
                  <w:tcW w:w="993" w:type="dxa"/>
                  <w:vAlign w:val="center"/>
                </w:tcPr>
                <w:p w14:paraId="5CED2B24">
                  <w:pPr>
                    <w:pStyle w:val="86"/>
                  </w:pPr>
                  <w:r>
                    <w:t>3</w:t>
                  </w:r>
                  <w:r>
                    <w:rPr>
                      <w:rFonts w:hint="eastAsia"/>
                    </w:rPr>
                    <w:t>t/a</w:t>
                  </w:r>
                </w:p>
              </w:tc>
              <w:tc>
                <w:tcPr>
                  <w:tcW w:w="2748" w:type="dxa"/>
                  <w:vAlign w:val="center"/>
                </w:tcPr>
                <w:p w14:paraId="119CE437">
                  <w:pPr>
                    <w:pStyle w:val="86"/>
                  </w:pPr>
                  <w:r>
                    <w:rPr>
                      <w:rFonts w:hint="eastAsia"/>
                    </w:rPr>
                    <w:t>一般固废暂存间暂存后，定期委托有处理能力且符合环保要求的企业进行处理</w:t>
                  </w:r>
                </w:p>
              </w:tc>
            </w:tr>
            <w:tr w14:paraId="771F04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8" w:type="dxa"/>
                  <w:vAlign w:val="center"/>
                </w:tcPr>
                <w:p w14:paraId="52450833">
                  <w:pPr>
                    <w:pStyle w:val="86"/>
                  </w:pPr>
                  <w:r>
                    <w:rPr>
                      <w:rFonts w:hint="eastAsia"/>
                    </w:rPr>
                    <w:t>污水处理站</w:t>
                  </w:r>
                </w:p>
              </w:tc>
              <w:tc>
                <w:tcPr>
                  <w:tcW w:w="1189" w:type="dxa"/>
                  <w:vAlign w:val="center"/>
                </w:tcPr>
                <w:p w14:paraId="3D587A39">
                  <w:pPr>
                    <w:pStyle w:val="86"/>
                  </w:pPr>
                  <w:r>
                    <w:rPr>
                      <w:rFonts w:hint="eastAsia"/>
                    </w:rPr>
                    <w:t>污泥</w:t>
                  </w:r>
                </w:p>
              </w:tc>
              <w:tc>
                <w:tcPr>
                  <w:tcW w:w="1368" w:type="dxa"/>
                  <w:vAlign w:val="center"/>
                </w:tcPr>
                <w:p w14:paraId="0655B38E">
                  <w:pPr>
                    <w:pStyle w:val="86"/>
                  </w:pPr>
                  <w:r>
                    <w:t>900-099-S07</w:t>
                  </w:r>
                </w:p>
              </w:tc>
              <w:tc>
                <w:tcPr>
                  <w:tcW w:w="1183" w:type="dxa"/>
                  <w:vMerge w:val="continue"/>
                  <w:vAlign w:val="center"/>
                </w:tcPr>
                <w:p w14:paraId="20D5EFB5">
                  <w:pPr>
                    <w:pStyle w:val="86"/>
                  </w:pPr>
                </w:p>
              </w:tc>
              <w:tc>
                <w:tcPr>
                  <w:tcW w:w="993" w:type="dxa"/>
                  <w:vAlign w:val="center"/>
                </w:tcPr>
                <w:p w14:paraId="4A59B12B">
                  <w:pPr>
                    <w:pStyle w:val="86"/>
                  </w:pPr>
                  <w:r>
                    <w:t>24</w:t>
                  </w:r>
                  <w:r>
                    <w:rPr>
                      <w:rFonts w:hint="eastAsia"/>
                    </w:rPr>
                    <w:t>t/a</w:t>
                  </w:r>
                </w:p>
              </w:tc>
              <w:tc>
                <w:tcPr>
                  <w:tcW w:w="2748" w:type="dxa"/>
                  <w:vAlign w:val="center"/>
                </w:tcPr>
                <w:p w14:paraId="6DEEA439">
                  <w:pPr>
                    <w:pStyle w:val="86"/>
                  </w:pPr>
                  <w:r>
                    <w:rPr>
                      <w:rFonts w:hint="eastAsia"/>
                    </w:rPr>
                    <w:t>板框压滤机脱水后采用桶装储存并于一般固废暂存间暂存，定期委托环卫部门处理。</w:t>
                  </w:r>
                </w:p>
              </w:tc>
            </w:tr>
          </w:tbl>
          <w:p w14:paraId="7BF2506E">
            <w:pPr>
              <w:pStyle w:val="67"/>
              <w:ind w:firstLine="480"/>
            </w:pPr>
            <w:r>
              <w:rPr>
                <w:rFonts w:hint="eastAsia"/>
              </w:rPr>
              <w:t xml:space="preserve">                   </w:t>
            </w:r>
            <w:r>
              <w:rPr>
                <w:rFonts w:hint="eastAsia"/>
                <w:lang w:val="zh-CN"/>
              </w:rPr>
              <w:t>危险废物汇总表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359"/>
              <w:gridCol w:w="781"/>
              <w:gridCol w:w="1261"/>
              <w:gridCol w:w="981"/>
              <w:gridCol w:w="974"/>
              <w:gridCol w:w="1122"/>
              <w:gridCol w:w="493"/>
              <w:gridCol w:w="393"/>
              <w:gridCol w:w="393"/>
              <w:gridCol w:w="393"/>
              <w:gridCol w:w="637"/>
              <w:gridCol w:w="772"/>
            </w:tblGrid>
            <w:tr w14:paraId="13B38D0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850" w:hRule="atLeast"/>
                <w:jc w:val="center"/>
              </w:trPr>
              <w:tc>
                <w:tcPr>
                  <w:tcW w:w="359" w:type="dxa"/>
                  <w:vAlign w:val="center"/>
                </w:tcPr>
                <w:p w14:paraId="1A0475B0">
                  <w:pPr>
                    <w:pStyle w:val="86"/>
                    <w:rPr>
                      <w:b/>
                      <w:bCs w:val="0"/>
                    </w:rPr>
                  </w:pPr>
                  <w:r>
                    <w:rPr>
                      <w:rFonts w:hint="eastAsia"/>
                      <w:b/>
                      <w:bCs w:val="0"/>
                    </w:rPr>
                    <w:t>序号</w:t>
                  </w:r>
                </w:p>
              </w:tc>
              <w:tc>
                <w:tcPr>
                  <w:tcW w:w="781" w:type="dxa"/>
                  <w:vAlign w:val="center"/>
                </w:tcPr>
                <w:p w14:paraId="38239FCE">
                  <w:pPr>
                    <w:pStyle w:val="86"/>
                    <w:rPr>
                      <w:b/>
                      <w:bCs w:val="0"/>
                    </w:rPr>
                  </w:pPr>
                  <w:r>
                    <w:rPr>
                      <w:rFonts w:hint="eastAsia"/>
                      <w:b/>
                      <w:bCs w:val="0"/>
                    </w:rPr>
                    <w:t>危险废物名称</w:t>
                  </w:r>
                </w:p>
              </w:tc>
              <w:tc>
                <w:tcPr>
                  <w:tcW w:w="1261" w:type="dxa"/>
                  <w:vAlign w:val="center"/>
                </w:tcPr>
                <w:p w14:paraId="49B66486">
                  <w:pPr>
                    <w:pStyle w:val="86"/>
                    <w:rPr>
                      <w:b/>
                      <w:bCs w:val="0"/>
                    </w:rPr>
                  </w:pPr>
                  <w:r>
                    <w:rPr>
                      <w:rFonts w:hint="eastAsia"/>
                      <w:b/>
                      <w:bCs w:val="0"/>
                    </w:rPr>
                    <w:t>危险废物类别</w:t>
                  </w:r>
                </w:p>
              </w:tc>
              <w:tc>
                <w:tcPr>
                  <w:tcW w:w="981" w:type="dxa"/>
                  <w:vAlign w:val="center"/>
                </w:tcPr>
                <w:p w14:paraId="753B357A">
                  <w:pPr>
                    <w:pStyle w:val="86"/>
                    <w:rPr>
                      <w:b/>
                      <w:bCs w:val="0"/>
                    </w:rPr>
                  </w:pPr>
                  <w:r>
                    <w:rPr>
                      <w:rFonts w:hint="eastAsia"/>
                      <w:b/>
                      <w:bCs w:val="0"/>
                    </w:rPr>
                    <w:t>危险废物代码</w:t>
                  </w:r>
                </w:p>
              </w:tc>
              <w:tc>
                <w:tcPr>
                  <w:tcW w:w="974" w:type="dxa"/>
                  <w:vAlign w:val="center"/>
                </w:tcPr>
                <w:p w14:paraId="7B7F907D">
                  <w:pPr>
                    <w:pStyle w:val="86"/>
                    <w:rPr>
                      <w:b/>
                      <w:bCs w:val="0"/>
                    </w:rPr>
                  </w:pPr>
                  <w:r>
                    <w:rPr>
                      <w:rFonts w:hint="eastAsia"/>
                      <w:b/>
                      <w:bCs w:val="0"/>
                    </w:rPr>
                    <w:t>产生量</w:t>
                  </w:r>
                </w:p>
              </w:tc>
              <w:tc>
                <w:tcPr>
                  <w:tcW w:w="1122" w:type="dxa"/>
                  <w:vAlign w:val="center"/>
                </w:tcPr>
                <w:p w14:paraId="67D6FF52">
                  <w:pPr>
                    <w:pStyle w:val="86"/>
                    <w:rPr>
                      <w:b/>
                      <w:bCs w:val="0"/>
                    </w:rPr>
                  </w:pPr>
                  <w:r>
                    <w:rPr>
                      <w:rFonts w:hint="eastAsia"/>
                      <w:b/>
                      <w:bCs w:val="0"/>
                    </w:rPr>
                    <w:t>产生工序及装置</w:t>
                  </w:r>
                </w:p>
              </w:tc>
              <w:tc>
                <w:tcPr>
                  <w:tcW w:w="493" w:type="dxa"/>
                  <w:vAlign w:val="center"/>
                </w:tcPr>
                <w:p w14:paraId="3E0DECFE">
                  <w:pPr>
                    <w:pStyle w:val="86"/>
                    <w:rPr>
                      <w:b/>
                      <w:bCs w:val="0"/>
                    </w:rPr>
                  </w:pPr>
                  <w:r>
                    <w:rPr>
                      <w:rFonts w:hint="eastAsia"/>
                      <w:b/>
                      <w:bCs w:val="0"/>
                    </w:rPr>
                    <w:t>形态</w:t>
                  </w:r>
                </w:p>
              </w:tc>
              <w:tc>
                <w:tcPr>
                  <w:tcW w:w="393" w:type="dxa"/>
                  <w:vAlign w:val="center"/>
                </w:tcPr>
                <w:p w14:paraId="37499DF2">
                  <w:pPr>
                    <w:pStyle w:val="86"/>
                    <w:rPr>
                      <w:b/>
                      <w:bCs w:val="0"/>
                    </w:rPr>
                  </w:pPr>
                  <w:r>
                    <w:rPr>
                      <w:rFonts w:hint="eastAsia"/>
                      <w:b/>
                      <w:bCs w:val="0"/>
                    </w:rPr>
                    <w:t>主要成分</w:t>
                  </w:r>
                </w:p>
              </w:tc>
              <w:tc>
                <w:tcPr>
                  <w:tcW w:w="393" w:type="dxa"/>
                  <w:vAlign w:val="center"/>
                </w:tcPr>
                <w:p w14:paraId="1E3D264E">
                  <w:pPr>
                    <w:pStyle w:val="86"/>
                    <w:rPr>
                      <w:b/>
                      <w:bCs w:val="0"/>
                    </w:rPr>
                  </w:pPr>
                  <w:r>
                    <w:rPr>
                      <w:rFonts w:hint="eastAsia"/>
                      <w:b/>
                      <w:bCs w:val="0"/>
                    </w:rPr>
                    <w:t>有害成分</w:t>
                  </w:r>
                </w:p>
              </w:tc>
              <w:tc>
                <w:tcPr>
                  <w:tcW w:w="393" w:type="dxa"/>
                  <w:vAlign w:val="center"/>
                </w:tcPr>
                <w:p w14:paraId="2AF34C90">
                  <w:pPr>
                    <w:pStyle w:val="86"/>
                    <w:rPr>
                      <w:b/>
                      <w:bCs w:val="0"/>
                    </w:rPr>
                  </w:pPr>
                  <w:r>
                    <w:rPr>
                      <w:rFonts w:hint="eastAsia"/>
                      <w:b/>
                      <w:bCs w:val="0"/>
                    </w:rPr>
                    <w:t>产废周期</w:t>
                  </w:r>
                </w:p>
              </w:tc>
              <w:tc>
                <w:tcPr>
                  <w:tcW w:w="637" w:type="dxa"/>
                  <w:vAlign w:val="center"/>
                </w:tcPr>
                <w:p w14:paraId="52CCFC10">
                  <w:pPr>
                    <w:pStyle w:val="86"/>
                    <w:rPr>
                      <w:b/>
                      <w:bCs w:val="0"/>
                    </w:rPr>
                  </w:pPr>
                  <w:r>
                    <w:rPr>
                      <w:rFonts w:hint="eastAsia"/>
                      <w:b/>
                      <w:bCs w:val="0"/>
                    </w:rPr>
                    <w:t>危险特性</w:t>
                  </w:r>
                </w:p>
              </w:tc>
              <w:tc>
                <w:tcPr>
                  <w:tcW w:w="772" w:type="dxa"/>
                  <w:vAlign w:val="center"/>
                </w:tcPr>
                <w:p w14:paraId="1CEEE428">
                  <w:pPr>
                    <w:pStyle w:val="86"/>
                    <w:rPr>
                      <w:b/>
                      <w:bCs w:val="0"/>
                    </w:rPr>
                  </w:pPr>
                  <w:r>
                    <w:rPr>
                      <w:rFonts w:hint="eastAsia"/>
                      <w:b/>
                      <w:bCs w:val="0"/>
                    </w:rPr>
                    <w:t>处置措施</w:t>
                  </w:r>
                </w:p>
              </w:tc>
            </w:tr>
            <w:tr w14:paraId="6294620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568" w:hRule="atLeast"/>
                <w:jc w:val="center"/>
              </w:trPr>
              <w:tc>
                <w:tcPr>
                  <w:tcW w:w="359" w:type="dxa"/>
                  <w:vAlign w:val="center"/>
                </w:tcPr>
                <w:p w14:paraId="6A37003D">
                  <w:pPr>
                    <w:pStyle w:val="86"/>
                  </w:pPr>
                  <w:r>
                    <w:rPr>
                      <w:rFonts w:hint="eastAsia"/>
                    </w:rPr>
                    <w:t>1</w:t>
                  </w:r>
                </w:p>
              </w:tc>
              <w:tc>
                <w:tcPr>
                  <w:tcW w:w="781" w:type="dxa"/>
                  <w:vAlign w:val="center"/>
                </w:tcPr>
                <w:p w14:paraId="5B11202A">
                  <w:pPr>
                    <w:pStyle w:val="86"/>
                  </w:pPr>
                  <w:r>
                    <w:rPr>
                      <w:rFonts w:hint="eastAsia"/>
                    </w:rPr>
                    <w:t>废油</w:t>
                  </w:r>
                </w:p>
              </w:tc>
              <w:tc>
                <w:tcPr>
                  <w:tcW w:w="1261" w:type="dxa"/>
                  <w:vAlign w:val="center"/>
                </w:tcPr>
                <w:p w14:paraId="3B0BDCB3">
                  <w:pPr>
                    <w:pStyle w:val="86"/>
                  </w:pPr>
                  <w:r>
                    <w:rPr>
                      <w:rFonts w:hint="eastAsia"/>
                    </w:rPr>
                    <w:t>HW09</w:t>
                  </w:r>
                </w:p>
              </w:tc>
              <w:tc>
                <w:tcPr>
                  <w:tcW w:w="981" w:type="dxa"/>
                  <w:vAlign w:val="center"/>
                </w:tcPr>
                <w:p w14:paraId="511E9904">
                  <w:pPr>
                    <w:pStyle w:val="86"/>
                  </w:pPr>
                  <w:r>
                    <w:rPr>
                      <w:rFonts w:hint="eastAsia"/>
                    </w:rPr>
                    <w:t>900-007-09</w:t>
                  </w:r>
                </w:p>
              </w:tc>
              <w:tc>
                <w:tcPr>
                  <w:tcW w:w="974" w:type="dxa"/>
                  <w:vAlign w:val="center"/>
                </w:tcPr>
                <w:p w14:paraId="1DE10E10">
                  <w:pPr>
                    <w:pStyle w:val="86"/>
                  </w:pPr>
                  <w:r>
                    <w:rPr>
                      <w:rFonts w:hint="eastAsia"/>
                    </w:rPr>
                    <w:t>0.1282t/a</w:t>
                  </w:r>
                </w:p>
              </w:tc>
              <w:tc>
                <w:tcPr>
                  <w:tcW w:w="1122" w:type="dxa"/>
                  <w:vAlign w:val="center"/>
                </w:tcPr>
                <w:p w14:paraId="5DE54CF5">
                  <w:pPr>
                    <w:pStyle w:val="86"/>
                  </w:pPr>
                  <w:r>
                    <w:rPr>
                      <w:rFonts w:hint="eastAsia"/>
                    </w:rPr>
                    <w:t>废气治理</w:t>
                  </w:r>
                </w:p>
              </w:tc>
              <w:tc>
                <w:tcPr>
                  <w:tcW w:w="493" w:type="dxa"/>
                  <w:vAlign w:val="center"/>
                </w:tcPr>
                <w:p w14:paraId="40C64858">
                  <w:pPr>
                    <w:pStyle w:val="86"/>
                  </w:pPr>
                  <w:r>
                    <w:rPr>
                      <w:rFonts w:hint="eastAsia"/>
                    </w:rPr>
                    <w:t>液态</w:t>
                  </w:r>
                </w:p>
              </w:tc>
              <w:tc>
                <w:tcPr>
                  <w:tcW w:w="393" w:type="dxa"/>
                  <w:vAlign w:val="center"/>
                </w:tcPr>
                <w:p w14:paraId="11D21CAE">
                  <w:pPr>
                    <w:pStyle w:val="86"/>
                  </w:pPr>
                  <w:r>
                    <w:rPr>
                      <w:rFonts w:hint="eastAsia"/>
                    </w:rPr>
                    <w:t>油类</w:t>
                  </w:r>
                </w:p>
              </w:tc>
              <w:tc>
                <w:tcPr>
                  <w:tcW w:w="393" w:type="dxa"/>
                  <w:vAlign w:val="center"/>
                </w:tcPr>
                <w:p w14:paraId="44A30857">
                  <w:pPr>
                    <w:pStyle w:val="86"/>
                  </w:pPr>
                  <w:r>
                    <w:rPr>
                      <w:rFonts w:hint="eastAsia"/>
                    </w:rPr>
                    <w:t>油类</w:t>
                  </w:r>
                </w:p>
              </w:tc>
              <w:tc>
                <w:tcPr>
                  <w:tcW w:w="393" w:type="dxa"/>
                  <w:vAlign w:val="center"/>
                </w:tcPr>
                <w:p w14:paraId="3D83D63C">
                  <w:pPr>
                    <w:pStyle w:val="86"/>
                  </w:pPr>
                  <w:r>
                    <w:rPr>
                      <w:rFonts w:hint="eastAsia"/>
                    </w:rPr>
                    <w:t>1年</w:t>
                  </w:r>
                </w:p>
              </w:tc>
              <w:tc>
                <w:tcPr>
                  <w:tcW w:w="637" w:type="dxa"/>
                  <w:vAlign w:val="center"/>
                </w:tcPr>
                <w:p w14:paraId="05BE9378">
                  <w:pPr>
                    <w:pStyle w:val="86"/>
                  </w:pPr>
                  <w:r>
                    <w:t>T</w:t>
                  </w:r>
                </w:p>
              </w:tc>
              <w:tc>
                <w:tcPr>
                  <w:tcW w:w="772" w:type="dxa"/>
                  <w:vMerge w:val="restart"/>
                  <w:vAlign w:val="center"/>
                </w:tcPr>
                <w:p w14:paraId="7B2C03A2">
                  <w:pPr>
                    <w:pStyle w:val="86"/>
                  </w:pPr>
                  <w:r>
                    <w:rPr>
                      <w:rFonts w:hint="eastAsia"/>
                    </w:rPr>
                    <w:t>采用专用密闭容器收集后在危废暂存间暂存，定期送至有相应资质的危废处理单位处置。</w:t>
                  </w:r>
                </w:p>
              </w:tc>
            </w:tr>
            <w:tr w14:paraId="124B2A5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568" w:hRule="atLeast"/>
                <w:jc w:val="center"/>
              </w:trPr>
              <w:tc>
                <w:tcPr>
                  <w:tcW w:w="359" w:type="dxa"/>
                  <w:vAlign w:val="center"/>
                </w:tcPr>
                <w:p w14:paraId="718169E7">
                  <w:pPr>
                    <w:pStyle w:val="86"/>
                  </w:pPr>
                  <w:r>
                    <w:rPr>
                      <w:rFonts w:hint="eastAsia"/>
                    </w:rPr>
                    <w:t>2</w:t>
                  </w:r>
                </w:p>
              </w:tc>
              <w:tc>
                <w:tcPr>
                  <w:tcW w:w="781" w:type="dxa"/>
                  <w:vAlign w:val="center"/>
                </w:tcPr>
                <w:p w14:paraId="0CC8A813">
                  <w:pPr>
                    <w:pStyle w:val="86"/>
                  </w:pPr>
                  <w:r>
                    <w:rPr>
                      <w:rFonts w:hint="eastAsia"/>
                    </w:rPr>
                    <w:t>废活性炭</w:t>
                  </w:r>
                </w:p>
              </w:tc>
              <w:tc>
                <w:tcPr>
                  <w:tcW w:w="1261" w:type="dxa"/>
                  <w:vAlign w:val="center"/>
                </w:tcPr>
                <w:p w14:paraId="08E49CC6">
                  <w:pPr>
                    <w:pStyle w:val="86"/>
                  </w:pPr>
                  <w:r>
                    <w:rPr>
                      <w:rFonts w:hint="eastAsia"/>
                    </w:rPr>
                    <w:t xml:space="preserve">HW49 </w:t>
                  </w:r>
                </w:p>
              </w:tc>
              <w:tc>
                <w:tcPr>
                  <w:tcW w:w="981" w:type="dxa"/>
                  <w:vAlign w:val="center"/>
                </w:tcPr>
                <w:p w14:paraId="455F106D">
                  <w:pPr>
                    <w:pStyle w:val="86"/>
                  </w:pPr>
                  <w:r>
                    <w:t>900-039-49</w:t>
                  </w:r>
                </w:p>
              </w:tc>
              <w:tc>
                <w:tcPr>
                  <w:tcW w:w="974" w:type="dxa"/>
                  <w:vAlign w:val="center"/>
                </w:tcPr>
                <w:p w14:paraId="6B05FDC9">
                  <w:pPr>
                    <w:pStyle w:val="86"/>
                  </w:pPr>
                  <w:r>
                    <w:t>1</w:t>
                  </w:r>
                  <w:r>
                    <w:rPr>
                      <w:rFonts w:hint="eastAsia"/>
                    </w:rPr>
                    <w:t>t/a</w:t>
                  </w:r>
                </w:p>
              </w:tc>
              <w:tc>
                <w:tcPr>
                  <w:tcW w:w="1122" w:type="dxa"/>
                  <w:vAlign w:val="center"/>
                </w:tcPr>
                <w:p w14:paraId="5FE60034">
                  <w:pPr>
                    <w:pStyle w:val="86"/>
                  </w:pPr>
                  <w:r>
                    <w:rPr>
                      <w:rFonts w:hint="eastAsia"/>
                    </w:rPr>
                    <w:t>废气治理</w:t>
                  </w:r>
                </w:p>
              </w:tc>
              <w:tc>
                <w:tcPr>
                  <w:tcW w:w="493" w:type="dxa"/>
                  <w:vAlign w:val="center"/>
                </w:tcPr>
                <w:p w14:paraId="15A2B238">
                  <w:pPr>
                    <w:pStyle w:val="86"/>
                  </w:pPr>
                  <w:r>
                    <w:rPr>
                      <w:rFonts w:hint="eastAsia"/>
                    </w:rPr>
                    <w:t>固态</w:t>
                  </w:r>
                </w:p>
              </w:tc>
              <w:tc>
                <w:tcPr>
                  <w:tcW w:w="393" w:type="dxa"/>
                  <w:vAlign w:val="center"/>
                </w:tcPr>
                <w:p w14:paraId="1D9BD454">
                  <w:pPr>
                    <w:pStyle w:val="86"/>
                  </w:pPr>
                  <w:r>
                    <w:rPr>
                      <w:rFonts w:hint="eastAsia"/>
                    </w:rPr>
                    <w:t>有机物</w:t>
                  </w:r>
                </w:p>
              </w:tc>
              <w:tc>
                <w:tcPr>
                  <w:tcW w:w="393" w:type="dxa"/>
                  <w:vAlign w:val="center"/>
                </w:tcPr>
                <w:p w14:paraId="7E2D6704">
                  <w:pPr>
                    <w:pStyle w:val="86"/>
                  </w:pPr>
                  <w:r>
                    <w:rPr>
                      <w:rFonts w:hint="eastAsia"/>
                    </w:rPr>
                    <w:t>有机物</w:t>
                  </w:r>
                </w:p>
              </w:tc>
              <w:tc>
                <w:tcPr>
                  <w:tcW w:w="393" w:type="dxa"/>
                  <w:vAlign w:val="center"/>
                </w:tcPr>
                <w:p w14:paraId="2ED5EFC0">
                  <w:pPr>
                    <w:pStyle w:val="86"/>
                  </w:pPr>
                  <w:r>
                    <w:rPr>
                      <w:rFonts w:hint="eastAsia"/>
                    </w:rPr>
                    <w:t>1年</w:t>
                  </w:r>
                </w:p>
              </w:tc>
              <w:tc>
                <w:tcPr>
                  <w:tcW w:w="637" w:type="dxa"/>
                  <w:vAlign w:val="center"/>
                </w:tcPr>
                <w:p w14:paraId="605B76C9">
                  <w:pPr>
                    <w:pStyle w:val="86"/>
                  </w:pPr>
                  <w:r>
                    <w:t>T/In</w:t>
                  </w:r>
                </w:p>
              </w:tc>
              <w:tc>
                <w:tcPr>
                  <w:tcW w:w="772" w:type="dxa"/>
                  <w:vMerge w:val="continue"/>
                  <w:vAlign w:val="center"/>
                </w:tcPr>
                <w:p w14:paraId="2FE8D549">
                  <w:pPr>
                    <w:pStyle w:val="86"/>
                  </w:pPr>
                </w:p>
              </w:tc>
            </w:tr>
            <w:tr w14:paraId="1F843F5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850" w:hRule="atLeast"/>
                <w:jc w:val="center"/>
              </w:trPr>
              <w:tc>
                <w:tcPr>
                  <w:tcW w:w="359" w:type="dxa"/>
                  <w:vAlign w:val="center"/>
                </w:tcPr>
                <w:p w14:paraId="68A2FBE7">
                  <w:pPr>
                    <w:pStyle w:val="86"/>
                  </w:pPr>
                  <w:r>
                    <w:rPr>
                      <w:rFonts w:hint="eastAsia"/>
                    </w:rPr>
                    <w:t>2</w:t>
                  </w:r>
                </w:p>
              </w:tc>
              <w:tc>
                <w:tcPr>
                  <w:tcW w:w="781" w:type="dxa"/>
                  <w:vAlign w:val="center"/>
                </w:tcPr>
                <w:p w14:paraId="4FA6B9A3">
                  <w:pPr>
                    <w:pStyle w:val="86"/>
                  </w:pPr>
                  <w:r>
                    <w:rPr>
                      <w:rFonts w:hint="eastAsia"/>
                    </w:rPr>
                    <w:t>废催化剂</w:t>
                  </w:r>
                </w:p>
              </w:tc>
              <w:tc>
                <w:tcPr>
                  <w:tcW w:w="1261" w:type="dxa"/>
                  <w:vAlign w:val="center"/>
                </w:tcPr>
                <w:p w14:paraId="4A2C918F">
                  <w:pPr>
                    <w:pStyle w:val="86"/>
                  </w:pPr>
                  <w:r>
                    <w:rPr>
                      <w:rFonts w:hint="eastAsia"/>
                    </w:rPr>
                    <w:t>HW50</w:t>
                  </w:r>
                  <w:r>
                    <w:t xml:space="preserve"> </w:t>
                  </w:r>
                </w:p>
              </w:tc>
              <w:tc>
                <w:tcPr>
                  <w:tcW w:w="981" w:type="dxa"/>
                  <w:vAlign w:val="center"/>
                </w:tcPr>
                <w:p w14:paraId="2AD8F1A5">
                  <w:pPr>
                    <w:pStyle w:val="86"/>
                  </w:pPr>
                  <w:r>
                    <w:t>772-007-50</w:t>
                  </w:r>
                </w:p>
              </w:tc>
              <w:tc>
                <w:tcPr>
                  <w:tcW w:w="974" w:type="dxa"/>
                  <w:vAlign w:val="center"/>
                </w:tcPr>
                <w:p w14:paraId="5FBB007C">
                  <w:pPr>
                    <w:pStyle w:val="86"/>
                  </w:pPr>
                  <w:r>
                    <w:t>0.05</w:t>
                  </w:r>
                  <w:r>
                    <w:rPr>
                      <w:rFonts w:hint="eastAsia"/>
                    </w:rPr>
                    <w:t>t/</w:t>
                  </w:r>
                  <w:r>
                    <w:t>5</w:t>
                  </w:r>
                  <w:r>
                    <w:rPr>
                      <w:rFonts w:hint="eastAsia"/>
                    </w:rPr>
                    <w:t>a</w:t>
                  </w:r>
                </w:p>
              </w:tc>
              <w:tc>
                <w:tcPr>
                  <w:tcW w:w="1122" w:type="dxa"/>
                  <w:vAlign w:val="center"/>
                </w:tcPr>
                <w:p w14:paraId="240E8212">
                  <w:pPr>
                    <w:pStyle w:val="86"/>
                  </w:pPr>
                  <w:r>
                    <w:rPr>
                      <w:rFonts w:hint="eastAsia"/>
                    </w:rPr>
                    <w:t>废气治理</w:t>
                  </w:r>
                </w:p>
              </w:tc>
              <w:tc>
                <w:tcPr>
                  <w:tcW w:w="493" w:type="dxa"/>
                  <w:vAlign w:val="center"/>
                </w:tcPr>
                <w:p w14:paraId="5BA0AB07">
                  <w:pPr>
                    <w:pStyle w:val="86"/>
                  </w:pPr>
                  <w:r>
                    <w:rPr>
                      <w:rFonts w:hint="eastAsia"/>
                    </w:rPr>
                    <w:t>固态</w:t>
                  </w:r>
                </w:p>
              </w:tc>
              <w:tc>
                <w:tcPr>
                  <w:tcW w:w="393" w:type="dxa"/>
                  <w:vAlign w:val="center"/>
                </w:tcPr>
                <w:p w14:paraId="3DCE181D">
                  <w:pPr>
                    <w:pStyle w:val="86"/>
                  </w:pPr>
                  <w:r>
                    <w:rPr>
                      <w:rFonts w:hint="eastAsia" w:ascii="宋体" w:hAnsi="宋体"/>
                    </w:rPr>
                    <w:t>钒钛系金属</w:t>
                  </w:r>
                </w:p>
              </w:tc>
              <w:tc>
                <w:tcPr>
                  <w:tcW w:w="393" w:type="dxa"/>
                  <w:vAlign w:val="center"/>
                </w:tcPr>
                <w:p w14:paraId="267FF1F2">
                  <w:pPr>
                    <w:pStyle w:val="86"/>
                  </w:pPr>
                  <w:r>
                    <w:rPr>
                      <w:rFonts w:hint="eastAsia" w:ascii="宋体" w:hAnsi="宋体"/>
                    </w:rPr>
                    <w:t>钒钛系金属</w:t>
                  </w:r>
                </w:p>
              </w:tc>
              <w:tc>
                <w:tcPr>
                  <w:tcW w:w="393" w:type="dxa"/>
                  <w:vAlign w:val="center"/>
                </w:tcPr>
                <w:p w14:paraId="1571897D">
                  <w:pPr>
                    <w:pStyle w:val="86"/>
                  </w:pPr>
                  <w:r>
                    <w:rPr>
                      <w:rFonts w:hint="eastAsia"/>
                    </w:rPr>
                    <w:t>1年</w:t>
                  </w:r>
                </w:p>
              </w:tc>
              <w:tc>
                <w:tcPr>
                  <w:tcW w:w="637" w:type="dxa"/>
                  <w:vAlign w:val="center"/>
                </w:tcPr>
                <w:p w14:paraId="3FB43935">
                  <w:pPr>
                    <w:pStyle w:val="86"/>
                  </w:pPr>
                  <w:r>
                    <w:rPr>
                      <w:rFonts w:hint="eastAsia"/>
                    </w:rPr>
                    <w:t>T</w:t>
                  </w:r>
                </w:p>
              </w:tc>
              <w:tc>
                <w:tcPr>
                  <w:tcW w:w="772" w:type="dxa"/>
                  <w:vMerge w:val="continue"/>
                  <w:vAlign w:val="center"/>
                </w:tcPr>
                <w:p w14:paraId="000373F5">
                  <w:pPr>
                    <w:pStyle w:val="86"/>
                  </w:pPr>
                </w:p>
              </w:tc>
            </w:tr>
          </w:tbl>
          <w:p w14:paraId="2F7ED56F">
            <w:pPr>
              <w:pStyle w:val="67"/>
              <w:ind w:firstLine="480"/>
            </w:pPr>
            <w:r>
              <w:rPr>
                <w:rFonts w:hint="eastAsia"/>
              </w:rPr>
              <w:t xml:space="preserve">     建设项目危险废物贮存场所（设施）基本情况表</w:t>
            </w:r>
          </w:p>
          <w:tbl>
            <w:tblPr>
              <w:tblStyle w:val="20"/>
              <w:tblW w:w="8563"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496"/>
              <w:gridCol w:w="983"/>
              <w:gridCol w:w="1065"/>
              <w:gridCol w:w="1418"/>
              <w:gridCol w:w="1458"/>
              <w:gridCol w:w="563"/>
              <w:gridCol w:w="822"/>
              <w:gridCol w:w="1134"/>
              <w:gridCol w:w="624"/>
            </w:tblGrid>
            <w:tr w14:paraId="20C8B9B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24" w:hRule="atLeast"/>
                <w:jc w:val="center"/>
              </w:trPr>
              <w:tc>
                <w:tcPr>
                  <w:tcW w:w="496" w:type="dxa"/>
                  <w:vAlign w:val="center"/>
                </w:tcPr>
                <w:p w14:paraId="2FCEC90C">
                  <w:pPr>
                    <w:pStyle w:val="86"/>
                    <w:rPr>
                      <w:b/>
                      <w:bCs w:val="0"/>
                    </w:rPr>
                  </w:pPr>
                  <w:r>
                    <w:rPr>
                      <w:rFonts w:hint="eastAsia"/>
                      <w:b/>
                      <w:bCs w:val="0"/>
                    </w:rPr>
                    <w:t>序号</w:t>
                  </w:r>
                </w:p>
              </w:tc>
              <w:tc>
                <w:tcPr>
                  <w:tcW w:w="983" w:type="dxa"/>
                  <w:vAlign w:val="center"/>
                </w:tcPr>
                <w:p w14:paraId="2B0398A8">
                  <w:pPr>
                    <w:pStyle w:val="86"/>
                    <w:rPr>
                      <w:b/>
                      <w:bCs w:val="0"/>
                    </w:rPr>
                  </w:pPr>
                  <w:r>
                    <w:rPr>
                      <w:b/>
                      <w:bCs w:val="0"/>
                    </w:rPr>
                    <w:t>贮存场所(设施)名称</w:t>
                  </w:r>
                </w:p>
              </w:tc>
              <w:tc>
                <w:tcPr>
                  <w:tcW w:w="1065" w:type="dxa"/>
                  <w:vAlign w:val="center"/>
                </w:tcPr>
                <w:p w14:paraId="44042535">
                  <w:pPr>
                    <w:pStyle w:val="86"/>
                    <w:rPr>
                      <w:b/>
                      <w:bCs w:val="0"/>
                    </w:rPr>
                  </w:pPr>
                  <w:r>
                    <w:rPr>
                      <w:b/>
                      <w:bCs w:val="0"/>
                    </w:rPr>
                    <w:t>危险废物名称</w:t>
                  </w:r>
                </w:p>
              </w:tc>
              <w:tc>
                <w:tcPr>
                  <w:tcW w:w="1418" w:type="dxa"/>
                  <w:vAlign w:val="center"/>
                </w:tcPr>
                <w:p w14:paraId="6E143EFA">
                  <w:pPr>
                    <w:pStyle w:val="86"/>
                    <w:rPr>
                      <w:b/>
                      <w:bCs w:val="0"/>
                    </w:rPr>
                  </w:pPr>
                  <w:r>
                    <w:rPr>
                      <w:b/>
                      <w:bCs w:val="0"/>
                    </w:rPr>
                    <w:t>危险废物类别</w:t>
                  </w:r>
                </w:p>
              </w:tc>
              <w:tc>
                <w:tcPr>
                  <w:tcW w:w="1458" w:type="dxa"/>
                  <w:vAlign w:val="center"/>
                </w:tcPr>
                <w:p w14:paraId="19C0E160">
                  <w:pPr>
                    <w:pStyle w:val="86"/>
                    <w:rPr>
                      <w:b/>
                      <w:bCs w:val="0"/>
                    </w:rPr>
                  </w:pPr>
                  <w:r>
                    <w:rPr>
                      <w:b/>
                      <w:bCs w:val="0"/>
                    </w:rPr>
                    <w:t>危险废物代码</w:t>
                  </w:r>
                </w:p>
              </w:tc>
              <w:tc>
                <w:tcPr>
                  <w:tcW w:w="563" w:type="dxa"/>
                  <w:vAlign w:val="center"/>
                </w:tcPr>
                <w:p w14:paraId="1792F0BA">
                  <w:pPr>
                    <w:pStyle w:val="86"/>
                    <w:rPr>
                      <w:b/>
                      <w:bCs w:val="0"/>
                    </w:rPr>
                  </w:pPr>
                  <w:r>
                    <w:rPr>
                      <w:b/>
                      <w:bCs w:val="0"/>
                    </w:rPr>
                    <w:t>位置</w:t>
                  </w:r>
                </w:p>
              </w:tc>
              <w:tc>
                <w:tcPr>
                  <w:tcW w:w="822" w:type="dxa"/>
                  <w:vAlign w:val="center"/>
                </w:tcPr>
                <w:p w14:paraId="7B29C2AB">
                  <w:pPr>
                    <w:pStyle w:val="86"/>
                    <w:rPr>
                      <w:b/>
                      <w:bCs w:val="0"/>
                    </w:rPr>
                  </w:pPr>
                  <w:r>
                    <w:rPr>
                      <w:b/>
                      <w:bCs w:val="0"/>
                    </w:rPr>
                    <w:t>占地面积</w:t>
                  </w:r>
                </w:p>
              </w:tc>
              <w:tc>
                <w:tcPr>
                  <w:tcW w:w="1134" w:type="dxa"/>
                  <w:vAlign w:val="center"/>
                </w:tcPr>
                <w:p w14:paraId="0C1E15AE">
                  <w:pPr>
                    <w:pStyle w:val="86"/>
                    <w:rPr>
                      <w:b/>
                      <w:bCs w:val="0"/>
                    </w:rPr>
                  </w:pPr>
                  <w:r>
                    <w:rPr>
                      <w:b/>
                      <w:bCs w:val="0"/>
                    </w:rPr>
                    <w:t>贮存方式</w:t>
                  </w:r>
                </w:p>
              </w:tc>
              <w:tc>
                <w:tcPr>
                  <w:tcW w:w="624" w:type="dxa"/>
                  <w:vAlign w:val="center"/>
                </w:tcPr>
                <w:p w14:paraId="79327BEA">
                  <w:pPr>
                    <w:pStyle w:val="86"/>
                    <w:rPr>
                      <w:b/>
                      <w:bCs w:val="0"/>
                    </w:rPr>
                  </w:pPr>
                  <w:r>
                    <w:rPr>
                      <w:b/>
                      <w:bCs w:val="0"/>
                    </w:rPr>
                    <w:t>贮存周期</w:t>
                  </w:r>
                </w:p>
              </w:tc>
            </w:tr>
            <w:tr w14:paraId="450A237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24" w:hRule="atLeast"/>
                <w:jc w:val="center"/>
              </w:trPr>
              <w:tc>
                <w:tcPr>
                  <w:tcW w:w="496" w:type="dxa"/>
                  <w:vAlign w:val="center"/>
                </w:tcPr>
                <w:p w14:paraId="4F88948A">
                  <w:pPr>
                    <w:pStyle w:val="86"/>
                  </w:pPr>
                  <w:r>
                    <w:rPr>
                      <w:rFonts w:hint="eastAsia"/>
                    </w:rPr>
                    <w:t>1</w:t>
                  </w:r>
                </w:p>
              </w:tc>
              <w:tc>
                <w:tcPr>
                  <w:tcW w:w="983" w:type="dxa"/>
                  <w:vMerge w:val="restart"/>
                  <w:vAlign w:val="center"/>
                </w:tcPr>
                <w:p w14:paraId="45B758C9">
                  <w:pPr>
                    <w:pStyle w:val="86"/>
                  </w:pPr>
                  <w:r>
                    <w:rPr>
                      <w:rFonts w:hint="eastAsia"/>
                    </w:rPr>
                    <w:t>危废暂存间</w:t>
                  </w:r>
                </w:p>
              </w:tc>
              <w:tc>
                <w:tcPr>
                  <w:tcW w:w="1065" w:type="dxa"/>
                  <w:vAlign w:val="center"/>
                </w:tcPr>
                <w:p w14:paraId="25D5EB04">
                  <w:pPr>
                    <w:pStyle w:val="86"/>
                  </w:pPr>
                  <w:r>
                    <w:rPr>
                      <w:rFonts w:hint="eastAsia"/>
                    </w:rPr>
                    <w:t>废油</w:t>
                  </w:r>
                </w:p>
              </w:tc>
              <w:tc>
                <w:tcPr>
                  <w:tcW w:w="1418" w:type="dxa"/>
                  <w:vAlign w:val="center"/>
                </w:tcPr>
                <w:p w14:paraId="1AA5C3AF">
                  <w:pPr>
                    <w:pStyle w:val="86"/>
                  </w:pPr>
                  <w:r>
                    <w:rPr>
                      <w:rFonts w:hint="eastAsia"/>
                    </w:rPr>
                    <w:t>HW09</w:t>
                  </w:r>
                </w:p>
              </w:tc>
              <w:tc>
                <w:tcPr>
                  <w:tcW w:w="1458" w:type="dxa"/>
                  <w:vAlign w:val="center"/>
                </w:tcPr>
                <w:p w14:paraId="6450D222">
                  <w:pPr>
                    <w:pStyle w:val="86"/>
                  </w:pPr>
                  <w:r>
                    <w:rPr>
                      <w:rFonts w:hint="eastAsia"/>
                    </w:rPr>
                    <w:t>900-007-09</w:t>
                  </w:r>
                </w:p>
              </w:tc>
              <w:tc>
                <w:tcPr>
                  <w:tcW w:w="563" w:type="dxa"/>
                  <w:vMerge w:val="restart"/>
                  <w:vAlign w:val="center"/>
                </w:tcPr>
                <w:p w14:paraId="0B9A6016">
                  <w:pPr>
                    <w:pStyle w:val="86"/>
                  </w:pPr>
                  <w:r>
                    <w:rPr>
                      <w:rFonts w:hint="eastAsia"/>
                    </w:rPr>
                    <w:t>厂区</w:t>
                  </w:r>
                </w:p>
              </w:tc>
              <w:tc>
                <w:tcPr>
                  <w:tcW w:w="822" w:type="dxa"/>
                  <w:vMerge w:val="restart"/>
                  <w:vAlign w:val="center"/>
                </w:tcPr>
                <w:p w14:paraId="3C64D787">
                  <w:pPr>
                    <w:pStyle w:val="86"/>
                  </w:pPr>
                  <w:r>
                    <w:rPr>
                      <w:rFonts w:hint="eastAsia"/>
                    </w:rPr>
                    <w:t>5m</w:t>
                  </w:r>
                  <w:r>
                    <w:rPr>
                      <w:vertAlign w:val="superscript"/>
                    </w:rPr>
                    <w:t>2</w:t>
                  </w:r>
                </w:p>
              </w:tc>
              <w:tc>
                <w:tcPr>
                  <w:tcW w:w="1134" w:type="dxa"/>
                  <w:vMerge w:val="restart"/>
                  <w:vAlign w:val="center"/>
                </w:tcPr>
                <w:p w14:paraId="03AD1DFA">
                  <w:pPr>
                    <w:pStyle w:val="86"/>
                  </w:pPr>
                  <w:r>
                    <w:rPr>
                      <w:rFonts w:hint="eastAsia"/>
                    </w:rPr>
                    <w:t>危废暂存间</w:t>
                  </w:r>
                </w:p>
              </w:tc>
              <w:tc>
                <w:tcPr>
                  <w:tcW w:w="624" w:type="dxa"/>
                  <w:vAlign w:val="center"/>
                </w:tcPr>
                <w:p w14:paraId="2363C1AF">
                  <w:pPr>
                    <w:pStyle w:val="86"/>
                  </w:pPr>
                  <w:r>
                    <w:t>1</w:t>
                  </w:r>
                  <w:r>
                    <w:rPr>
                      <w:rFonts w:hint="eastAsia"/>
                    </w:rPr>
                    <w:t>年</w:t>
                  </w:r>
                </w:p>
              </w:tc>
            </w:tr>
            <w:tr w14:paraId="61029E4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24" w:hRule="atLeast"/>
                <w:jc w:val="center"/>
              </w:trPr>
              <w:tc>
                <w:tcPr>
                  <w:tcW w:w="496" w:type="dxa"/>
                  <w:vAlign w:val="center"/>
                </w:tcPr>
                <w:p w14:paraId="30FEDA8E">
                  <w:pPr>
                    <w:pStyle w:val="86"/>
                  </w:pPr>
                  <w:r>
                    <w:rPr>
                      <w:rFonts w:hint="eastAsia"/>
                    </w:rPr>
                    <w:t>2</w:t>
                  </w:r>
                </w:p>
              </w:tc>
              <w:tc>
                <w:tcPr>
                  <w:tcW w:w="983" w:type="dxa"/>
                  <w:vMerge w:val="continue"/>
                  <w:vAlign w:val="center"/>
                </w:tcPr>
                <w:p w14:paraId="3C134304">
                  <w:pPr>
                    <w:pStyle w:val="86"/>
                  </w:pPr>
                </w:p>
              </w:tc>
              <w:tc>
                <w:tcPr>
                  <w:tcW w:w="1065" w:type="dxa"/>
                  <w:vAlign w:val="center"/>
                </w:tcPr>
                <w:p w14:paraId="49FECA97">
                  <w:pPr>
                    <w:pStyle w:val="86"/>
                  </w:pPr>
                  <w:r>
                    <w:rPr>
                      <w:rFonts w:hint="eastAsia"/>
                    </w:rPr>
                    <w:t>废活性炭</w:t>
                  </w:r>
                </w:p>
              </w:tc>
              <w:tc>
                <w:tcPr>
                  <w:tcW w:w="1418" w:type="dxa"/>
                  <w:vAlign w:val="center"/>
                </w:tcPr>
                <w:p w14:paraId="4EAEF066">
                  <w:pPr>
                    <w:pStyle w:val="86"/>
                  </w:pPr>
                  <w:r>
                    <w:rPr>
                      <w:rFonts w:hint="eastAsia"/>
                    </w:rPr>
                    <w:t xml:space="preserve">HW49 </w:t>
                  </w:r>
                </w:p>
              </w:tc>
              <w:tc>
                <w:tcPr>
                  <w:tcW w:w="1458" w:type="dxa"/>
                  <w:vAlign w:val="center"/>
                </w:tcPr>
                <w:p w14:paraId="28496853">
                  <w:pPr>
                    <w:pStyle w:val="86"/>
                  </w:pPr>
                  <w:r>
                    <w:t>900-039-49</w:t>
                  </w:r>
                </w:p>
              </w:tc>
              <w:tc>
                <w:tcPr>
                  <w:tcW w:w="563" w:type="dxa"/>
                  <w:vMerge w:val="continue"/>
                  <w:vAlign w:val="center"/>
                </w:tcPr>
                <w:p w14:paraId="233407E1">
                  <w:pPr>
                    <w:pStyle w:val="86"/>
                  </w:pPr>
                </w:p>
              </w:tc>
              <w:tc>
                <w:tcPr>
                  <w:tcW w:w="822" w:type="dxa"/>
                  <w:vMerge w:val="continue"/>
                  <w:vAlign w:val="center"/>
                </w:tcPr>
                <w:p w14:paraId="1E1F0068">
                  <w:pPr>
                    <w:pStyle w:val="86"/>
                  </w:pPr>
                </w:p>
              </w:tc>
              <w:tc>
                <w:tcPr>
                  <w:tcW w:w="1134" w:type="dxa"/>
                  <w:vMerge w:val="continue"/>
                  <w:vAlign w:val="center"/>
                </w:tcPr>
                <w:p w14:paraId="265F5C11">
                  <w:pPr>
                    <w:pStyle w:val="86"/>
                  </w:pPr>
                </w:p>
              </w:tc>
              <w:tc>
                <w:tcPr>
                  <w:tcW w:w="624" w:type="dxa"/>
                  <w:vAlign w:val="center"/>
                </w:tcPr>
                <w:p w14:paraId="335BBA30">
                  <w:pPr>
                    <w:pStyle w:val="86"/>
                  </w:pPr>
                  <w:r>
                    <w:t>1</w:t>
                  </w:r>
                  <w:r>
                    <w:rPr>
                      <w:rFonts w:hint="eastAsia"/>
                    </w:rPr>
                    <w:t>年</w:t>
                  </w:r>
                </w:p>
              </w:tc>
            </w:tr>
            <w:tr w14:paraId="42C3B70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24" w:hRule="atLeast"/>
                <w:jc w:val="center"/>
              </w:trPr>
              <w:tc>
                <w:tcPr>
                  <w:tcW w:w="496" w:type="dxa"/>
                  <w:vAlign w:val="center"/>
                </w:tcPr>
                <w:p w14:paraId="3C7DDCC9">
                  <w:pPr>
                    <w:pStyle w:val="86"/>
                  </w:pPr>
                  <w:r>
                    <w:rPr>
                      <w:rFonts w:hint="eastAsia"/>
                    </w:rPr>
                    <w:t>3</w:t>
                  </w:r>
                </w:p>
              </w:tc>
              <w:tc>
                <w:tcPr>
                  <w:tcW w:w="983" w:type="dxa"/>
                  <w:vMerge w:val="continue"/>
                  <w:vAlign w:val="center"/>
                </w:tcPr>
                <w:p w14:paraId="438BD533">
                  <w:pPr>
                    <w:pStyle w:val="86"/>
                  </w:pPr>
                </w:p>
              </w:tc>
              <w:tc>
                <w:tcPr>
                  <w:tcW w:w="1065" w:type="dxa"/>
                  <w:vAlign w:val="center"/>
                </w:tcPr>
                <w:p w14:paraId="667ED89F">
                  <w:pPr>
                    <w:pStyle w:val="86"/>
                  </w:pPr>
                  <w:r>
                    <w:rPr>
                      <w:rFonts w:hint="eastAsia"/>
                    </w:rPr>
                    <w:t>废催化剂</w:t>
                  </w:r>
                </w:p>
              </w:tc>
              <w:tc>
                <w:tcPr>
                  <w:tcW w:w="1418" w:type="dxa"/>
                  <w:vAlign w:val="center"/>
                </w:tcPr>
                <w:p w14:paraId="2B493676">
                  <w:pPr>
                    <w:pStyle w:val="86"/>
                  </w:pPr>
                  <w:r>
                    <w:rPr>
                      <w:rFonts w:hint="eastAsia"/>
                    </w:rPr>
                    <w:t>HW50</w:t>
                  </w:r>
                  <w:r>
                    <w:t xml:space="preserve"> </w:t>
                  </w:r>
                </w:p>
              </w:tc>
              <w:tc>
                <w:tcPr>
                  <w:tcW w:w="1458" w:type="dxa"/>
                  <w:vAlign w:val="center"/>
                </w:tcPr>
                <w:p w14:paraId="32BB1985">
                  <w:pPr>
                    <w:pStyle w:val="86"/>
                  </w:pPr>
                  <w:r>
                    <w:t>772-007-50</w:t>
                  </w:r>
                </w:p>
              </w:tc>
              <w:tc>
                <w:tcPr>
                  <w:tcW w:w="563" w:type="dxa"/>
                  <w:vMerge w:val="continue"/>
                  <w:vAlign w:val="center"/>
                </w:tcPr>
                <w:p w14:paraId="4ECED630">
                  <w:pPr>
                    <w:pStyle w:val="86"/>
                  </w:pPr>
                </w:p>
              </w:tc>
              <w:tc>
                <w:tcPr>
                  <w:tcW w:w="822" w:type="dxa"/>
                  <w:vMerge w:val="continue"/>
                  <w:vAlign w:val="center"/>
                </w:tcPr>
                <w:p w14:paraId="6FFBC53A">
                  <w:pPr>
                    <w:pStyle w:val="86"/>
                    <w:rPr>
                      <w:color w:val="FF0000"/>
                    </w:rPr>
                  </w:pPr>
                </w:p>
              </w:tc>
              <w:tc>
                <w:tcPr>
                  <w:tcW w:w="1134" w:type="dxa"/>
                  <w:vMerge w:val="continue"/>
                  <w:vAlign w:val="center"/>
                </w:tcPr>
                <w:p w14:paraId="28CA4173">
                  <w:pPr>
                    <w:pStyle w:val="86"/>
                  </w:pPr>
                </w:p>
              </w:tc>
              <w:tc>
                <w:tcPr>
                  <w:tcW w:w="624" w:type="dxa"/>
                  <w:vAlign w:val="center"/>
                </w:tcPr>
                <w:p w14:paraId="723DAA85">
                  <w:pPr>
                    <w:pStyle w:val="86"/>
                  </w:pPr>
                  <w:r>
                    <w:t>1</w:t>
                  </w:r>
                  <w:r>
                    <w:rPr>
                      <w:rFonts w:hint="eastAsia"/>
                    </w:rPr>
                    <w:t>年</w:t>
                  </w:r>
                </w:p>
              </w:tc>
            </w:tr>
          </w:tbl>
          <w:p w14:paraId="6951C4E2">
            <w:pPr>
              <w:spacing w:line="440" w:lineRule="exact"/>
              <w:ind w:firstLine="482" w:firstLineChars="200"/>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3、固废</w:t>
            </w:r>
            <w:r>
              <w:rPr>
                <w:rFonts w:hint="eastAsia"/>
                <w:b/>
                <w:bCs/>
                <w:color w:val="000000" w:themeColor="text1"/>
                <w:sz w:val="24"/>
                <w:lang w:val="zh-CN"/>
                <w14:textFill>
                  <w14:solidFill>
                    <w14:schemeClr w14:val="tx1"/>
                  </w14:solidFill>
                </w14:textFill>
              </w:rPr>
              <w:t>暂存</w:t>
            </w:r>
            <w:r>
              <w:rPr>
                <w:b/>
                <w:bCs/>
                <w:color w:val="000000" w:themeColor="text1"/>
                <w:sz w:val="24"/>
                <w:lang w:val="zh-CN"/>
                <w14:textFill>
                  <w14:solidFill>
                    <w14:schemeClr w14:val="tx1"/>
                  </w14:solidFill>
                </w14:textFill>
              </w:rPr>
              <w:t>措施</w:t>
            </w:r>
          </w:p>
          <w:p w14:paraId="00FB1288">
            <w:pPr>
              <w:spacing w:line="440" w:lineRule="exact"/>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为避免本项目的固废在储存过程中产生二次污染问题，</w:t>
            </w:r>
            <w:r>
              <w:rPr>
                <w:rFonts w:hint="eastAsia"/>
                <w:color w:val="000000" w:themeColor="text1"/>
                <w:sz w:val="24"/>
                <w:lang w:val="zh-CN"/>
                <w14:textFill>
                  <w14:solidFill>
                    <w14:schemeClr w14:val="tx1"/>
                  </w14:solidFill>
                </w14:textFill>
              </w:rPr>
              <w:t>本项目新建</w:t>
            </w:r>
            <w:r>
              <w:rPr>
                <w:color w:val="000000" w:themeColor="text1"/>
                <w:sz w:val="24"/>
                <w:lang w:val="zh-CN"/>
                <w14:textFill>
                  <w14:solidFill>
                    <w14:schemeClr w14:val="tx1"/>
                  </w14:solidFill>
                </w14:textFill>
              </w:rPr>
              <w:t>1</w:t>
            </w:r>
            <w:r>
              <w:rPr>
                <w:rFonts w:hint="eastAsia"/>
                <w:color w:val="000000" w:themeColor="text1"/>
                <w:sz w:val="24"/>
                <w14:textFill>
                  <w14:solidFill>
                    <w14:schemeClr w14:val="tx1"/>
                  </w14:solidFill>
                </w14:textFill>
              </w:rPr>
              <w:t>个</w:t>
            </w:r>
            <w:r>
              <w:rPr>
                <w:color w:val="000000" w:themeColor="text1"/>
                <w:sz w:val="24"/>
                <w:lang w:val="zh-CN"/>
                <w14:textFill>
                  <w14:solidFill>
                    <w14:schemeClr w14:val="tx1"/>
                  </w14:solidFill>
                </w14:textFill>
              </w:rPr>
              <w:t>一般固废暂存间</w:t>
            </w:r>
            <w:r>
              <w:rPr>
                <w:rFonts w:hint="eastAsia"/>
                <w:color w:val="000000" w:themeColor="text1"/>
                <w:sz w:val="24"/>
                <w:lang w:val="zh-CN"/>
                <w14:textFill>
                  <w14:solidFill>
                    <w14:schemeClr w14:val="tx1"/>
                  </w14:solidFill>
                </w14:textFill>
              </w:rPr>
              <w:t>（</w:t>
            </w:r>
            <w:r>
              <w:rPr>
                <w:color w:val="000000" w:themeColor="text1"/>
                <w:sz w:val="24"/>
                <w:lang w:val="zh-CN"/>
                <w14:textFill>
                  <w14:solidFill>
                    <w14:schemeClr w14:val="tx1"/>
                  </w14:solidFill>
                </w14:textFill>
              </w:rPr>
              <w:t>10m</w:t>
            </w:r>
            <w:r>
              <w:rPr>
                <w:color w:val="000000" w:themeColor="text1"/>
                <w:sz w:val="24"/>
                <w:vertAlign w:val="superscript"/>
                <w:lang w:val="zh-CN"/>
                <w14:textFill>
                  <w14:solidFill>
                    <w14:schemeClr w14:val="tx1"/>
                  </w14:solidFill>
                </w14:textFill>
              </w:rPr>
              <w:t>2</w:t>
            </w:r>
            <w:r>
              <w:rPr>
                <w:rFonts w:hint="eastAsia"/>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和1个危废暂存间</w:t>
            </w:r>
            <w:r>
              <w:rPr>
                <w:rFonts w:hint="eastAsia"/>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lang w:val="zh-CN"/>
                <w14:textFill>
                  <w14:solidFill>
                    <w14:schemeClr w14:val="tx1"/>
                  </w14:solidFill>
                </w14:textFill>
              </w:rPr>
              <w:t>m</w:t>
            </w:r>
            <w:r>
              <w:rPr>
                <w:color w:val="000000" w:themeColor="text1"/>
                <w:sz w:val="24"/>
                <w:vertAlign w:val="superscript"/>
                <w:lang w:val="zh-CN"/>
                <w14:textFill>
                  <w14:solidFill>
                    <w14:schemeClr w14:val="tx1"/>
                  </w14:solidFill>
                </w14:textFill>
              </w:rPr>
              <w:t>2</w:t>
            </w:r>
            <w:r>
              <w:rPr>
                <w:rFonts w:hint="eastAsia"/>
                <w:color w:val="000000" w:themeColor="text1"/>
                <w:sz w:val="24"/>
                <w:lang w:val="zh-CN"/>
                <w14:textFill>
                  <w14:solidFill>
                    <w14:schemeClr w14:val="tx1"/>
                  </w14:solidFill>
                </w14:textFill>
              </w:rPr>
              <w:t>）</w:t>
            </w:r>
            <w:r>
              <w:rPr>
                <w:color w:val="000000" w:themeColor="text1"/>
                <w:sz w:val="24"/>
                <w:lang w:val="zh-CN"/>
                <w14:textFill>
                  <w14:solidFill>
                    <w14:schemeClr w14:val="tx1"/>
                  </w14:solidFill>
                </w14:textFill>
              </w:rPr>
              <w:t>，对项目固废实现分类存放。</w:t>
            </w:r>
            <w:r>
              <w:rPr>
                <w:color w:val="000000" w:themeColor="text1"/>
                <w:sz w:val="24"/>
                <w14:textFill>
                  <w14:solidFill>
                    <w14:schemeClr w14:val="tx1"/>
                  </w14:solidFill>
                </w14:textFill>
              </w:rPr>
              <w:t>本项目一般固废</w:t>
            </w:r>
            <w:r>
              <w:rPr>
                <w:rFonts w:hint="eastAsia"/>
                <w:color w:val="000000" w:themeColor="text1"/>
                <w:sz w:val="24"/>
                <w14:textFill>
                  <w14:solidFill>
                    <w14:schemeClr w14:val="tx1"/>
                  </w14:solidFill>
                </w14:textFill>
              </w:rPr>
              <w:t>间应满足</w:t>
            </w:r>
            <w:r>
              <w:rPr>
                <w:color w:val="000000" w:themeColor="text1"/>
                <w:sz w:val="24"/>
                <w14:textFill>
                  <w14:solidFill>
                    <w14:schemeClr w14:val="tx1"/>
                  </w14:solidFill>
                </w14:textFill>
              </w:rPr>
              <w:t>《一般工业固体废物贮存和填埋污染控制标准》（GB18599-2020）防渗漏、防雨淋、防扬尘的</w:t>
            </w:r>
            <w:r>
              <w:rPr>
                <w:rFonts w:hint="eastAsia"/>
                <w:color w:val="000000" w:themeColor="text1"/>
                <w:sz w:val="24"/>
                <w14:textFill>
                  <w14:solidFill>
                    <w14:schemeClr w14:val="tx1"/>
                  </w14:solidFill>
                </w14:textFill>
              </w:rPr>
              <w:t>“</w:t>
            </w:r>
            <w:r>
              <w:rPr>
                <w:color w:val="000000" w:themeColor="text1"/>
                <w:sz w:val="24"/>
                <w:lang w:val="zh-CN"/>
                <w14:textFill>
                  <w14:solidFill>
                    <w14:schemeClr w14:val="tx1"/>
                  </w14:solidFill>
                </w14:textFill>
              </w:rPr>
              <w:t>三防要求</w:t>
            </w:r>
            <w:r>
              <w:rPr>
                <w:rFonts w:hint="eastAsia"/>
                <w:color w:val="000000" w:themeColor="text1"/>
                <w:sz w:val="24"/>
                <w:lang w:val="zh-CN"/>
                <w14:textFill>
                  <w14:solidFill>
                    <w14:schemeClr w14:val="tx1"/>
                  </w14:solidFill>
                </w14:textFill>
              </w:rPr>
              <w:t>”</w:t>
            </w:r>
            <w:r>
              <w:rPr>
                <w:color w:val="000000" w:themeColor="text1"/>
                <w:sz w:val="24"/>
                <w:lang w:val="zh-CN"/>
                <w14:textFill>
                  <w14:solidFill>
                    <w14:schemeClr w14:val="tx1"/>
                  </w14:solidFill>
                </w14:textFill>
              </w:rPr>
              <w:t>。</w:t>
            </w:r>
            <w:r>
              <w:rPr>
                <w:rFonts w:hint="eastAsia"/>
                <w:color w:val="000000" w:themeColor="text1"/>
                <w:sz w:val="24"/>
                <w:lang w:val="zh-CN"/>
                <w14:textFill>
                  <w14:solidFill>
                    <w14:schemeClr w14:val="tx1"/>
                  </w14:solidFill>
                </w14:textFill>
              </w:rPr>
              <w:t>危废暂存间应满足</w:t>
            </w:r>
            <w:r>
              <w:rPr>
                <w:color w:val="000000" w:themeColor="text1"/>
                <w:sz w:val="24"/>
                <w:lang w:val="zh-CN"/>
                <w14:textFill>
                  <w14:solidFill>
                    <w14:schemeClr w14:val="tx1"/>
                  </w14:solidFill>
                </w14:textFill>
              </w:rPr>
              <w:t>《危险废物贮存污染控制标准》（GB18597-20</w:t>
            </w:r>
            <w:r>
              <w:rPr>
                <w:rFonts w:hint="eastAsia"/>
                <w:color w:val="000000" w:themeColor="text1"/>
                <w:sz w:val="24"/>
                <w14:textFill>
                  <w14:solidFill>
                    <w14:schemeClr w14:val="tx1"/>
                  </w14:solidFill>
                </w14:textFill>
              </w:rPr>
              <w:t>23</w:t>
            </w:r>
            <w:r>
              <w:rPr>
                <w:color w:val="000000" w:themeColor="text1"/>
                <w:sz w:val="24"/>
                <w:lang w:val="zh-CN"/>
                <w14:textFill>
                  <w14:solidFill>
                    <w14:schemeClr w14:val="tx1"/>
                  </w14:solidFill>
                </w14:textFill>
              </w:rPr>
              <w:t>）</w:t>
            </w:r>
            <w:r>
              <w:rPr>
                <w:rFonts w:hint="eastAsia"/>
                <w:color w:val="000000" w:themeColor="text1"/>
                <w:sz w:val="24"/>
                <w:lang w:val="zh-CN"/>
                <w14:textFill>
                  <w14:solidFill>
                    <w14:schemeClr w14:val="tx1"/>
                  </w14:solidFill>
                </w14:textFill>
              </w:rPr>
              <w:t>相关控制</w:t>
            </w:r>
            <w:r>
              <w:rPr>
                <w:rFonts w:hint="eastAsia"/>
                <w:color w:val="000000" w:themeColor="text1"/>
                <w:sz w:val="24"/>
                <w14:textFill>
                  <w14:solidFill>
                    <w14:schemeClr w14:val="tx1"/>
                  </w14:solidFill>
                </w14:textFill>
              </w:rPr>
              <w:t>要求，</w:t>
            </w:r>
            <w:r>
              <w:rPr>
                <w:color w:val="000000" w:themeColor="text1"/>
                <w:sz w:val="24"/>
                <w:lang w:val="zh-CN"/>
                <w14:textFill>
                  <w14:solidFill>
                    <w14:schemeClr w14:val="tx1"/>
                  </w14:solidFill>
                </w14:textFill>
              </w:rPr>
              <w:t>危险废物产生与贮存均在厂区内，</w:t>
            </w:r>
            <w:r>
              <w:rPr>
                <w:rFonts w:hint="eastAsia"/>
                <w:color w:val="000000" w:themeColor="text1"/>
                <w:sz w:val="24"/>
                <w:lang w:val="zh-CN"/>
                <w14:textFill>
                  <w14:solidFill>
                    <w14:schemeClr w14:val="tx1"/>
                  </w14:solidFill>
                </w14:textFill>
              </w:rPr>
              <w:t>生产车间</w:t>
            </w:r>
            <w:r>
              <w:rPr>
                <w:color w:val="000000" w:themeColor="text1"/>
                <w:sz w:val="24"/>
                <w:lang w:val="zh-CN"/>
                <w14:textFill>
                  <w14:solidFill>
                    <w14:schemeClr w14:val="tx1"/>
                  </w14:solidFill>
                </w14:textFill>
              </w:rPr>
              <w:t>地面、运输线路和危废暂存间均</w:t>
            </w:r>
            <w:r>
              <w:rPr>
                <w:rFonts w:hint="eastAsia"/>
                <w:color w:val="000000" w:themeColor="text1"/>
                <w:sz w:val="24"/>
                <w:lang w:val="zh-CN"/>
                <w14:textFill>
                  <w14:solidFill>
                    <w14:schemeClr w14:val="tx1"/>
                  </w14:solidFill>
                </w14:textFill>
              </w:rPr>
              <w:t>应</w:t>
            </w:r>
            <w:r>
              <w:rPr>
                <w:color w:val="000000" w:themeColor="text1"/>
                <w:sz w:val="24"/>
                <w:lang w:val="zh-CN"/>
                <w14:textFill>
                  <w14:solidFill>
                    <w14:schemeClr w14:val="tx1"/>
                  </w14:solidFill>
                </w14:textFill>
              </w:rPr>
              <w:t>采取硬化和防腐防渗措施。</w:t>
            </w:r>
          </w:p>
          <w:p w14:paraId="3B02AB9F">
            <w:pPr>
              <w:pStyle w:val="8"/>
              <w:spacing w:line="460" w:lineRule="exact"/>
              <w:ind w:left="0" w:right="0" w:firstLine="482" w:firstLineChars="200"/>
              <w:rPr>
                <w:b/>
              </w:rPr>
            </w:pPr>
            <w:r>
              <w:rPr>
                <w:b/>
              </w:rPr>
              <w:t>4、环境管理要求</w:t>
            </w:r>
          </w:p>
          <w:p w14:paraId="707EBFC9">
            <w:pPr>
              <w:autoSpaceDE w:val="0"/>
              <w:autoSpaceDN w:val="0"/>
              <w:adjustRightInd w:val="0"/>
              <w:snapToGrid w:val="0"/>
              <w:spacing w:line="44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本</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要求企业按照评价指南和《危险废物收集 贮存 运输技术规范》（HJ2025-2012）要求，</w:t>
            </w:r>
            <w:r>
              <w:rPr>
                <w:rFonts w:hint="eastAsia"/>
                <w:color w:val="000000" w:themeColor="text1"/>
                <w:sz w:val="24"/>
                <w14:textFill>
                  <w14:solidFill>
                    <w14:schemeClr w14:val="tx1"/>
                  </w14:solidFill>
                </w14:textFill>
              </w:rPr>
              <w:t>对</w:t>
            </w:r>
            <w:r>
              <w:rPr>
                <w:color w:val="000000" w:themeColor="text1"/>
                <w:sz w:val="24"/>
                <w14:textFill>
                  <w14:solidFill>
                    <w14:schemeClr w14:val="tx1"/>
                  </w14:solidFill>
                </w14:textFill>
              </w:rPr>
              <w:t>危险废物内部转运应采取</w:t>
            </w:r>
            <w:r>
              <w:rPr>
                <w:rFonts w:hint="eastAsia"/>
                <w:color w:val="000000" w:themeColor="text1"/>
                <w:sz w:val="24"/>
                <w14:textFill>
                  <w14:solidFill>
                    <w14:schemeClr w14:val="tx1"/>
                  </w14:solidFill>
                </w14:textFill>
              </w:rPr>
              <w:t>以下</w:t>
            </w:r>
            <w:r>
              <w:rPr>
                <w:color w:val="000000" w:themeColor="text1"/>
                <w:sz w:val="24"/>
                <w14:textFill>
                  <w14:solidFill>
                    <w14:schemeClr w14:val="tx1"/>
                  </w14:solidFill>
                </w14:textFill>
              </w:rPr>
              <w:t>措施：</w:t>
            </w:r>
          </w:p>
          <w:p w14:paraId="49908332">
            <w:pPr>
              <w:autoSpaceDE w:val="0"/>
              <w:autoSpaceDN w:val="0"/>
              <w:adjustRightInd w:val="0"/>
              <w:snapToGrid w:val="0"/>
              <w:spacing w:line="44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危险废物从厂区内产生工艺环节运输到危废暂存间，应有专人负责，专用桶收集、转运，避免可能引起的散落。</w:t>
            </w:r>
          </w:p>
          <w:p w14:paraId="4805F4B3">
            <w:pPr>
              <w:autoSpaceDE w:val="0"/>
              <w:autoSpaceDN w:val="0"/>
              <w:adjustRightInd w:val="0"/>
              <w:snapToGrid w:val="0"/>
              <w:spacing w:line="44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②危险废物内部转运作业应采用专用的工具，危险废物内部转运应填写《危险废物厂内转运记录表》，危险废物内部转运结束后，应对转运路线进行检查和清理，确保无危险废物遗失在转运路线上。</w:t>
            </w:r>
          </w:p>
          <w:p w14:paraId="27894135">
            <w:pPr>
              <w:autoSpaceDE w:val="0"/>
              <w:autoSpaceDN w:val="0"/>
              <w:adjustRightInd w:val="0"/>
              <w:snapToGrid w:val="0"/>
              <w:spacing w:line="44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企业新建的一般固废间和</w:t>
            </w:r>
            <w:r>
              <w:rPr>
                <w:color w:val="000000" w:themeColor="text1"/>
                <w:sz w:val="24"/>
                <w14:textFill>
                  <w14:solidFill>
                    <w14:schemeClr w14:val="tx1"/>
                  </w14:solidFill>
                </w14:textFill>
              </w:rPr>
              <w:t>危废暂存间需</w:t>
            </w:r>
            <w:r>
              <w:rPr>
                <w:rFonts w:hint="eastAsia"/>
                <w:color w:val="000000" w:themeColor="text1"/>
                <w:sz w:val="24"/>
                <w14:textFill>
                  <w14:solidFill>
                    <w14:schemeClr w14:val="tx1"/>
                  </w14:solidFill>
                </w14:textFill>
              </w:rPr>
              <w:t>按照</w:t>
            </w:r>
            <w:r>
              <w:rPr>
                <w:color w:val="000000" w:themeColor="text1"/>
                <w:sz w:val="24"/>
                <w14:textFill>
                  <w14:solidFill>
                    <w14:schemeClr w14:val="tx1"/>
                  </w14:solidFill>
                </w14:textFill>
              </w:rPr>
              <w:t>以下</w:t>
            </w:r>
            <w:r>
              <w:rPr>
                <w:rFonts w:hint="eastAsia"/>
                <w:color w:val="000000" w:themeColor="text1"/>
                <w:sz w:val="24"/>
                <w14:textFill>
                  <w14:solidFill>
                    <w14:schemeClr w14:val="tx1"/>
                  </w14:solidFill>
                </w14:textFill>
              </w:rPr>
              <w:t>要求严格管理：</w:t>
            </w:r>
          </w:p>
          <w:p w14:paraId="57976159">
            <w:pPr>
              <w:pStyle w:val="28"/>
              <w:ind w:firstLine="480"/>
            </w:pPr>
            <w:r>
              <w:rPr>
                <w:rFonts w:hint="eastAsia"/>
              </w:rPr>
              <w:t>①一般固废间的地面应进行硬化，应有防渗漏、防风、防晒、防雨淋设施。</w:t>
            </w:r>
          </w:p>
          <w:p w14:paraId="657E7E07">
            <w:pPr>
              <w:autoSpaceDE w:val="0"/>
              <w:autoSpaceDN w:val="0"/>
              <w:adjustRightInd w:val="0"/>
              <w:snapToGrid w:val="0"/>
              <w:spacing w:line="44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②危险废物容器内应留一定空间。</w:t>
            </w:r>
          </w:p>
          <w:p w14:paraId="40B5C58F">
            <w:pPr>
              <w:autoSpaceDE w:val="0"/>
              <w:autoSpaceDN w:val="0"/>
              <w:adjustRightInd w:val="0"/>
              <w:snapToGrid w:val="0"/>
              <w:spacing w:line="44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③各种盛装废物的容器必须完好无损，各个危险废物容器外侧须标明危险废物的名称，存入时间、重量、成分、特性以及发生泄漏、扩散污染事故时的应急措施和补救方法。</w:t>
            </w:r>
          </w:p>
          <w:p w14:paraId="1868D1D3">
            <w:pPr>
              <w:autoSpaceDE w:val="0"/>
              <w:autoSpaceDN w:val="0"/>
              <w:adjustRightInd w:val="0"/>
              <w:snapToGrid w:val="0"/>
              <w:spacing w:line="44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p>
          <w:p w14:paraId="08463B16">
            <w:pPr>
              <w:autoSpaceDE w:val="0"/>
              <w:autoSpaceDN w:val="0"/>
              <w:adjustRightInd w:val="0"/>
              <w:snapToGrid w:val="0"/>
              <w:spacing w:line="440" w:lineRule="exact"/>
              <w:ind w:firstLine="480" w:firstLineChars="200"/>
              <w:textAlignment w:val="baseline"/>
              <w:rPr>
                <w:color w:val="000000"/>
                <w:kern w:val="0"/>
              </w:rPr>
            </w:pPr>
            <w:r>
              <w:rPr>
                <w:rFonts w:hint="eastAsia"/>
                <w:color w:val="000000" w:themeColor="text1"/>
                <w:sz w:val="24"/>
                <w14:textFill>
                  <w14:solidFill>
                    <w14:schemeClr w14:val="tx1"/>
                  </w14:solidFill>
                </w14:textFill>
              </w:rPr>
              <w:t>⑤</w:t>
            </w:r>
            <w:r>
              <w:rPr>
                <w:color w:val="000000" w:themeColor="text1"/>
                <w:sz w:val="24"/>
                <w14:textFill>
                  <w14:solidFill>
                    <w14:schemeClr w14:val="tx1"/>
                  </w14:solidFill>
                </w14:textFill>
              </w:rPr>
              <w:t>各危险废物定期送至有资质的危废处理单位安全处置；在危废的转移处置过程中，应严格按照《中华人民共和国固体废物污染环境防治法》和《危险废物转移管理办法》有关规定执行。</w:t>
            </w:r>
          </w:p>
          <w:p w14:paraId="09556DA6">
            <w:pPr>
              <w:spacing w:line="440" w:lineRule="exact"/>
              <w:ind w:firstLine="482" w:firstLineChars="200"/>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五、地下水、土壤</w:t>
            </w:r>
          </w:p>
          <w:p w14:paraId="2D5C24B1">
            <w:pPr>
              <w:pStyle w:val="28"/>
              <w:ind w:firstLine="480"/>
              <w:rPr>
                <w:lang w:val="zh-CN"/>
              </w:rPr>
            </w:pPr>
            <w:r>
              <w:rPr>
                <w:rFonts w:hint="eastAsia"/>
              </w:rPr>
              <w:t>本项目可能对地下水、土壤有影响的主要为污水处理站、危险废物。</w:t>
            </w:r>
            <w:r>
              <w:rPr>
                <w:rFonts w:hint="eastAsia"/>
                <w:lang w:val="zh-CN"/>
              </w:rPr>
              <w:t>本项目一体化污水处理站位于地上，废水均采用地上管道输送，定期对管道进行维护，待管道达到其使用年限前及时更换，且租赁车间内地面均已做好硬化，保证废水不与土壤接触，不会下渗影响地下水；本项目危险废物暂存于危废暂存间内，采用专用容器收集，并置于托盘上，确保不渗漏，危废暂存间根据《危险废物贮存污染控制标准》（GB18597-2023）的要求设置防渗措施，危险废物不与土壤接触，不会下渗影响地下水，因此本项目不存在地下水污染途径。</w:t>
            </w:r>
          </w:p>
          <w:p w14:paraId="42F8544C">
            <w:pPr>
              <w:pStyle w:val="28"/>
              <w:ind w:firstLine="480"/>
              <w:rPr>
                <w:lang w:val="zh-CN"/>
              </w:rPr>
            </w:pPr>
          </w:p>
          <w:p w14:paraId="22D7D018">
            <w:pPr>
              <w:pStyle w:val="28"/>
              <w:ind w:firstLine="480"/>
              <w:rPr>
                <w:lang w:val="zh-CN"/>
              </w:rPr>
            </w:pPr>
          </w:p>
          <w:p w14:paraId="3DB16029">
            <w:pPr>
              <w:pStyle w:val="28"/>
              <w:ind w:firstLine="480"/>
              <w:rPr>
                <w:lang w:val="zh-CN"/>
              </w:rPr>
            </w:pPr>
          </w:p>
          <w:p w14:paraId="46E7A3F8">
            <w:pPr>
              <w:pStyle w:val="28"/>
              <w:ind w:firstLine="480"/>
              <w:rPr>
                <w:lang w:val="zh-CN"/>
              </w:rPr>
            </w:pPr>
          </w:p>
          <w:p w14:paraId="34F27546">
            <w:pPr>
              <w:pStyle w:val="28"/>
              <w:ind w:firstLine="480"/>
              <w:rPr>
                <w:lang w:val="zh-CN"/>
              </w:rPr>
            </w:pPr>
          </w:p>
          <w:p w14:paraId="451E390D">
            <w:pPr>
              <w:pStyle w:val="28"/>
              <w:ind w:firstLine="480"/>
              <w:rPr>
                <w:lang w:val="zh-CN"/>
              </w:rPr>
            </w:pPr>
          </w:p>
          <w:p w14:paraId="3EA876D4">
            <w:pPr>
              <w:pStyle w:val="28"/>
              <w:ind w:firstLine="480"/>
              <w:rPr>
                <w:lang w:val="zh-CN"/>
              </w:rPr>
            </w:pPr>
          </w:p>
          <w:p w14:paraId="3498B679">
            <w:pPr>
              <w:pStyle w:val="28"/>
              <w:ind w:firstLine="480"/>
              <w:rPr>
                <w:lang w:val="zh-CN"/>
              </w:rPr>
            </w:pPr>
          </w:p>
          <w:p w14:paraId="62F93885">
            <w:pPr>
              <w:pStyle w:val="28"/>
              <w:ind w:firstLine="480"/>
              <w:rPr>
                <w:lang w:val="zh-CN"/>
              </w:rPr>
            </w:pPr>
          </w:p>
          <w:p w14:paraId="5422BCFD">
            <w:pPr>
              <w:pStyle w:val="28"/>
              <w:ind w:firstLine="480"/>
              <w:rPr>
                <w:lang w:val="zh-CN"/>
              </w:rPr>
            </w:pPr>
          </w:p>
          <w:p w14:paraId="00332CAE">
            <w:pPr>
              <w:pStyle w:val="28"/>
              <w:ind w:firstLine="480"/>
              <w:rPr>
                <w:lang w:val="zh-CN"/>
              </w:rPr>
            </w:pPr>
          </w:p>
          <w:p w14:paraId="7EE898FC">
            <w:pPr>
              <w:pStyle w:val="28"/>
              <w:ind w:firstLine="480"/>
              <w:rPr>
                <w:lang w:val="zh-CN"/>
              </w:rPr>
            </w:pPr>
          </w:p>
          <w:p w14:paraId="49C88D7B">
            <w:pPr>
              <w:pStyle w:val="28"/>
              <w:ind w:firstLine="480"/>
              <w:rPr>
                <w:lang w:val="zh-CN"/>
              </w:rPr>
            </w:pPr>
          </w:p>
          <w:p w14:paraId="4B92A54B">
            <w:pPr>
              <w:pStyle w:val="28"/>
              <w:ind w:firstLine="480"/>
              <w:rPr>
                <w:lang w:val="zh-CN"/>
              </w:rPr>
            </w:pPr>
          </w:p>
          <w:p w14:paraId="38E1C02D">
            <w:pPr>
              <w:pStyle w:val="28"/>
              <w:ind w:firstLine="480"/>
              <w:rPr>
                <w:lang w:val="zh-CN"/>
              </w:rPr>
            </w:pPr>
          </w:p>
          <w:p w14:paraId="6DD05A76">
            <w:pPr>
              <w:pStyle w:val="28"/>
              <w:ind w:firstLine="480"/>
              <w:rPr>
                <w:lang w:val="zh-CN"/>
              </w:rPr>
            </w:pPr>
          </w:p>
          <w:p w14:paraId="311005B4">
            <w:pPr>
              <w:pStyle w:val="28"/>
              <w:ind w:firstLine="480"/>
              <w:rPr>
                <w:lang w:val="zh-CN"/>
              </w:rPr>
            </w:pPr>
          </w:p>
          <w:p w14:paraId="737DDBA0">
            <w:pPr>
              <w:pStyle w:val="28"/>
              <w:ind w:firstLine="480"/>
              <w:rPr>
                <w:lang w:val="zh-CN"/>
              </w:rPr>
            </w:pPr>
          </w:p>
          <w:p w14:paraId="6E5898F9">
            <w:pPr>
              <w:pStyle w:val="28"/>
              <w:ind w:firstLine="480"/>
              <w:rPr>
                <w:lang w:val="zh-CN"/>
              </w:rPr>
            </w:pPr>
          </w:p>
          <w:p w14:paraId="65150F98">
            <w:pPr>
              <w:pStyle w:val="28"/>
              <w:ind w:firstLine="480"/>
              <w:rPr>
                <w:lang w:val="zh-CN"/>
              </w:rPr>
            </w:pPr>
          </w:p>
          <w:p w14:paraId="4BC6B1B7">
            <w:pPr>
              <w:pStyle w:val="28"/>
              <w:ind w:firstLine="480"/>
              <w:rPr>
                <w:lang w:val="zh-CN"/>
              </w:rPr>
            </w:pPr>
          </w:p>
        </w:tc>
      </w:tr>
    </w:tbl>
    <w:p w14:paraId="09B90EC1">
      <w:pPr>
        <w:pStyle w:val="2"/>
        <w:rPr>
          <w:color w:val="000000" w:themeColor="text1"/>
          <w:kern w:val="2"/>
          <w:sz w:val="21"/>
          <w:szCs w:val="21"/>
          <w14:textFill>
            <w14:solidFill>
              <w14:schemeClr w14:val="tx1"/>
            </w14:solidFill>
          </w14:textFill>
        </w:rPr>
        <w:sectPr>
          <w:pgSz w:w="11907" w:h="16840"/>
          <w:pgMar w:top="1701" w:right="1531" w:bottom="1985" w:left="1531" w:header="851" w:footer="851" w:gutter="0"/>
          <w:cols w:space="720" w:num="1"/>
          <w:docGrid w:linePitch="312" w:charSpace="0"/>
        </w:sectPr>
      </w:pPr>
      <w:r>
        <w:br w:type="page"/>
      </w:r>
    </w:p>
    <w:p w14:paraId="129E74D5">
      <w:pPr>
        <w:pStyle w:val="15"/>
        <w:ind w:firstLine="60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五、</w:t>
      </w:r>
      <w:bookmarkStart w:id="2"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2"/>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8"/>
        <w:gridCol w:w="728"/>
        <w:gridCol w:w="728"/>
        <w:gridCol w:w="1455"/>
        <w:gridCol w:w="2038"/>
        <w:gridCol w:w="3393"/>
      </w:tblGrid>
      <w:tr w14:paraId="7D4F49D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tcPr>
          <w:p w14:paraId="419ED4D1">
            <w:pPr>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内容要素</w:t>
            </w:r>
          </w:p>
        </w:tc>
        <w:tc>
          <w:tcPr>
            <w:tcW w:w="1418" w:type="dxa"/>
            <w:gridSpan w:val="2"/>
            <w:vAlign w:val="center"/>
          </w:tcPr>
          <w:p w14:paraId="0557291A">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污染源</w:t>
            </w:r>
          </w:p>
        </w:tc>
        <w:tc>
          <w:tcPr>
            <w:tcW w:w="1417" w:type="dxa"/>
            <w:vAlign w:val="center"/>
          </w:tcPr>
          <w:p w14:paraId="7BD06F62">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污染物项目</w:t>
            </w:r>
          </w:p>
        </w:tc>
        <w:tc>
          <w:tcPr>
            <w:tcW w:w="1985" w:type="dxa"/>
            <w:vAlign w:val="center"/>
          </w:tcPr>
          <w:p w14:paraId="064DF180">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环境保护措施</w:t>
            </w:r>
          </w:p>
        </w:tc>
        <w:tc>
          <w:tcPr>
            <w:tcW w:w="3305" w:type="dxa"/>
            <w:vAlign w:val="center"/>
          </w:tcPr>
          <w:p w14:paraId="77366861">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执行标准</w:t>
            </w:r>
          </w:p>
        </w:tc>
      </w:tr>
      <w:tr w14:paraId="5E6EB3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restart"/>
            <w:vAlign w:val="center"/>
          </w:tcPr>
          <w:p w14:paraId="742BA38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709" w:type="dxa"/>
            <w:vAlign w:val="center"/>
          </w:tcPr>
          <w:p w14:paraId="492E728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w:t>
            </w:r>
          </w:p>
        </w:tc>
        <w:tc>
          <w:tcPr>
            <w:tcW w:w="709" w:type="dxa"/>
            <w:vAlign w:val="center"/>
          </w:tcPr>
          <w:p w14:paraId="15EB7258">
            <w:pPr>
              <w:pStyle w:val="86"/>
            </w:pPr>
            <w:r>
              <w:rPr>
                <w:rFonts w:hint="eastAsia"/>
              </w:rPr>
              <w:t>熔融挤出</w:t>
            </w:r>
          </w:p>
        </w:tc>
        <w:tc>
          <w:tcPr>
            <w:tcW w:w="1417" w:type="dxa"/>
            <w:vAlign w:val="center"/>
          </w:tcPr>
          <w:p w14:paraId="048E4548">
            <w:pPr>
              <w:pStyle w:val="86"/>
            </w:pPr>
            <w:r>
              <w:rPr>
                <w:rFonts w:hint="eastAsia"/>
                <w:color w:val="000000" w:themeColor="text1"/>
                <w:szCs w:val="21"/>
                <w14:textFill>
                  <w14:solidFill>
                    <w14:schemeClr w14:val="tx1"/>
                  </w14:solidFill>
                </w14:textFill>
              </w:rPr>
              <w:t>非甲烷总烃</w:t>
            </w:r>
          </w:p>
        </w:tc>
        <w:tc>
          <w:tcPr>
            <w:tcW w:w="1985" w:type="dxa"/>
            <w:vAlign w:val="center"/>
          </w:tcPr>
          <w:p w14:paraId="06CF6F4E">
            <w:pPr>
              <w:pStyle w:val="86"/>
            </w:pPr>
            <w:r>
              <w:rPr>
                <w:rFonts w:hint="eastAsia" w:ascii="宋体" w:hAnsi="宋体"/>
              </w:rPr>
              <w:t>集气罩+工业高压静电油烟净化装置+活性炭吸附/脱</w:t>
            </w:r>
            <w:r>
              <w:rPr>
                <w:rFonts w:hint="eastAsia"/>
                <w:bCs w:val="0"/>
                <w:color w:val="000000"/>
                <w:kern w:val="2"/>
                <w:szCs w:val="21"/>
              </w:rPr>
              <w:t>附-催化燃烧装置（TA002）+15m高排气筒（DA002）</w:t>
            </w:r>
          </w:p>
        </w:tc>
        <w:tc>
          <w:tcPr>
            <w:tcW w:w="3305" w:type="dxa"/>
            <w:vAlign w:val="center"/>
          </w:tcPr>
          <w:p w14:paraId="5EEDA8B9">
            <w:pPr>
              <w:pStyle w:val="122"/>
            </w:pPr>
            <w:r>
              <w:rPr>
                <w:rFonts w:hint="eastAsia" w:ascii="宋体" w:hAnsi="宋体"/>
                <w:color w:val="000000"/>
              </w:rPr>
              <w:t>《合成树脂工业污染物排放标准》（</w:t>
            </w:r>
            <w:r>
              <w:rPr>
                <w:rFonts w:hint="eastAsia"/>
                <w:color w:val="000000"/>
              </w:rPr>
              <w:t>GB 31572-2015）含2024年修改单表5非甲烷总</w:t>
            </w:r>
            <w:r>
              <w:rPr>
                <w:rFonts w:hint="eastAsia" w:ascii="宋体" w:hAnsi="宋体"/>
                <w:color w:val="000000"/>
              </w:rPr>
              <w:t>烃有组织排放浓度</w:t>
            </w:r>
            <w:r>
              <w:rPr>
                <w:rFonts w:hint="eastAsia"/>
                <w:color w:val="000000"/>
              </w:rPr>
              <w:t>60 mg/m</w:t>
            </w:r>
            <w:r>
              <w:rPr>
                <w:rFonts w:hint="eastAsia"/>
                <w:color w:val="000000"/>
                <w:vertAlign w:val="superscript"/>
              </w:rPr>
              <w:t>3</w:t>
            </w:r>
            <w:r>
              <w:rPr>
                <w:rFonts w:hint="eastAsia" w:ascii="宋体" w:hAnsi="宋体"/>
                <w:color w:val="000000"/>
              </w:rPr>
              <w:t>的限值要求、河南省环境污染防治攻坚领导小组办公室文件《关于全省开展工业企业挥发性有机物专项治理工作中排放建议限值的通知》（豫环攻坚办（</w:t>
            </w:r>
            <w:r>
              <w:rPr>
                <w:rFonts w:hint="eastAsia"/>
                <w:color w:val="000000"/>
              </w:rPr>
              <w:t>2017</w:t>
            </w:r>
            <w:r>
              <w:rPr>
                <w:rFonts w:hint="eastAsia" w:ascii="宋体" w:hAnsi="宋体"/>
                <w:color w:val="000000"/>
              </w:rPr>
              <w:t>）</w:t>
            </w:r>
            <w:r>
              <w:rPr>
                <w:rFonts w:hint="eastAsia"/>
                <w:color w:val="000000"/>
              </w:rPr>
              <w:t>162</w:t>
            </w:r>
            <w:r>
              <w:rPr>
                <w:rFonts w:hint="eastAsia" w:ascii="宋体" w:hAnsi="宋体"/>
                <w:color w:val="000000"/>
              </w:rPr>
              <w:t>号）中附件</w:t>
            </w:r>
            <w:r>
              <w:rPr>
                <w:rFonts w:hint="eastAsia"/>
                <w:color w:val="000000"/>
              </w:rPr>
              <w:t>1</w:t>
            </w:r>
            <w:r>
              <w:rPr>
                <w:rFonts w:hint="eastAsia" w:ascii="宋体" w:hAnsi="宋体"/>
                <w:color w:val="000000"/>
              </w:rPr>
              <w:t>：其他行业有机废气排放口非甲烷总烃建议去除率≥</w:t>
            </w:r>
            <w:r>
              <w:rPr>
                <w:rFonts w:hint="eastAsia"/>
                <w:color w:val="000000"/>
              </w:rPr>
              <w:t>70%</w:t>
            </w:r>
            <w:r>
              <w:rPr>
                <w:rFonts w:hint="eastAsia" w:ascii="宋体" w:hAnsi="宋体"/>
                <w:color w:val="000000"/>
              </w:rPr>
              <w:t>的要求、</w:t>
            </w:r>
            <w:r>
              <w:rPr>
                <w:rFonts w:hint="eastAsia"/>
              </w:rPr>
              <w:t>《河南省重污染天气重点行业应急减排措施制定技术指南（2024年修订版）》</w:t>
            </w:r>
            <w:r>
              <w:rPr>
                <w:rFonts w:hint="eastAsia" w:ascii="宋体" w:hAnsi="宋体"/>
                <w:color w:val="000000"/>
              </w:rPr>
              <w:t>中塑料制品行业</w:t>
            </w:r>
            <w:r>
              <w:rPr>
                <w:rFonts w:hint="eastAsia"/>
                <w:color w:val="000000"/>
              </w:rPr>
              <w:t>A</w:t>
            </w:r>
            <w:r>
              <w:rPr>
                <w:rFonts w:hint="eastAsia" w:ascii="宋体" w:hAnsi="宋体"/>
                <w:color w:val="000000"/>
              </w:rPr>
              <w:t>级</w:t>
            </w:r>
            <w:r>
              <w:rPr>
                <w:rFonts w:hint="eastAsia"/>
                <w:color w:val="000000" w:themeColor="text1"/>
                <w14:textFill>
                  <w14:solidFill>
                    <w14:schemeClr w14:val="tx1"/>
                  </w14:solidFill>
                </w14:textFill>
              </w:rPr>
              <w:t>非甲烷总烃</w:t>
            </w:r>
            <w:r>
              <w:rPr>
                <w:rFonts w:hint="eastAsia" w:ascii="宋体" w:hAnsi="宋体"/>
                <w:color w:val="000000"/>
              </w:rPr>
              <w:t>有组织排放浓度</w:t>
            </w:r>
            <w:r>
              <w:rPr>
                <w:rFonts w:hint="eastAsia"/>
                <w:color w:val="000000"/>
              </w:rPr>
              <w:t>20 mg/m</w:t>
            </w:r>
            <w:r>
              <w:rPr>
                <w:rFonts w:hint="eastAsia"/>
                <w:color w:val="000000"/>
                <w:vertAlign w:val="superscript"/>
              </w:rPr>
              <w:t>3</w:t>
            </w:r>
            <w:r>
              <w:rPr>
                <w:rFonts w:hint="eastAsia" w:ascii="宋体" w:hAnsi="宋体"/>
                <w:color w:val="000000"/>
              </w:rPr>
              <w:t>的限值要求</w:t>
            </w:r>
          </w:p>
        </w:tc>
      </w:tr>
      <w:tr w14:paraId="701625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continue"/>
            <w:vAlign w:val="center"/>
          </w:tcPr>
          <w:p w14:paraId="076986C3">
            <w:pPr>
              <w:adjustRightInd w:val="0"/>
              <w:snapToGrid w:val="0"/>
              <w:jc w:val="center"/>
              <w:rPr>
                <w:color w:val="000000" w:themeColor="text1"/>
                <w:szCs w:val="21"/>
                <w14:textFill>
                  <w14:solidFill>
                    <w14:schemeClr w14:val="tx1"/>
                  </w14:solidFill>
                </w14:textFill>
              </w:rPr>
            </w:pPr>
          </w:p>
        </w:tc>
        <w:tc>
          <w:tcPr>
            <w:tcW w:w="709" w:type="dxa"/>
            <w:vAlign w:val="center"/>
          </w:tcPr>
          <w:p w14:paraId="7663A32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tc>
        <w:tc>
          <w:tcPr>
            <w:tcW w:w="709" w:type="dxa"/>
            <w:vAlign w:val="center"/>
          </w:tcPr>
          <w:p w14:paraId="677717D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1417" w:type="dxa"/>
            <w:vAlign w:val="center"/>
          </w:tcPr>
          <w:p w14:paraId="5EDA529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985" w:type="dxa"/>
            <w:vAlign w:val="center"/>
          </w:tcPr>
          <w:p w14:paraId="789E7F1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车间密闭</w:t>
            </w:r>
          </w:p>
        </w:tc>
        <w:tc>
          <w:tcPr>
            <w:tcW w:w="3305" w:type="dxa"/>
            <w:vAlign w:val="center"/>
          </w:tcPr>
          <w:p w14:paraId="737F275E">
            <w:pPr>
              <w:adjustRightInd w:val="0"/>
              <w:snapToGrid w:val="0"/>
              <w:jc w:val="center"/>
            </w:pPr>
            <w:r>
              <w:rPr>
                <w:rFonts w:hint="eastAsia"/>
              </w:rPr>
              <w:t>《关于全省开展工业企业挥发性有机物专项治理工作中排放建议值的通知》（豫环攻坚办〔2017〕162号）</w:t>
            </w:r>
          </w:p>
        </w:tc>
      </w:tr>
      <w:tr w14:paraId="41B619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restart"/>
            <w:vAlign w:val="center"/>
          </w:tcPr>
          <w:p w14:paraId="15818C9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418" w:type="dxa"/>
            <w:gridSpan w:val="2"/>
            <w:vAlign w:val="center"/>
          </w:tcPr>
          <w:p w14:paraId="25FA1B9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1417" w:type="dxa"/>
            <w:vAlign w:val="center"/>
          </w:tcPr>
          <w:p w14:paraId="07027C2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N</w:t>
            </w:r>
          </w:p>
        </w:tc>
        <w:tc>
          <w:tcPr>
            <w:tcW w:w="1985" w:type="dxa"/>
            <w:vAlign w:val="center"/>
          </w:tcPr>
          <w:p w14:paraId="0561B26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化粪池处理后经管网排入获嘉县香山家园污水处理厂进一步处理</w:t>
            </w:r>
          </w:p>
        </w:tc>
        <w:tc>
          <w:tcPr>
            <w:tcW w:w="3305" w:type="dxa"/>
            <w:vAlign w:val="center"/>
          </w:tcPr>
          <w:p w14:paraId="1005987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获嘉县香山家园污水处理厂收水标准、《污水综合排放标准》（GB8978-1996）表4三级</w:t>
            </w:r>
          </w:p>
        </w:tc>
      </w:tr>
      <w:tr w14:paraId="0C7BD7B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continue"/>
            <w:vAlign w:val="center"/>
          </w:tcPr>
          <w:p w14:paraId="565F235E">
            <w:pPr>
              <w:adjustRightInd w:val="0"/>
              <w:snapToGrid w:val="0"/>
              <w:jc w:val="center"/>
              <w:rPr>
                <w:color w:val="000000" w:themeColor="text1"/>
                <w:szCs w:val="21"/>
                <w14:textFill>
                  <w14:solidFill>
                    <w14:schemeClr w14:val="tx1"/>
                  </w14:solidFill>
                </w14:textFill>
              </w:rPr>
            </w:pPr>
          </w:p>
        </w:tc>
        <w:tc>
          <w:tcPr>
            <w:tcW w:w="1418" w:type="dxa"/>
            <w:gridSpan w:val="2"/>
            <w:vAlign w:val="center"/>
          </w:tcPr>
          <w:p w14:paraId="1ADCA30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循环冷却水排水</w:t>
            </w:r>
          </w:p>
        </w:tc>
        <w:tc>
          <w:tcPr>
            <w:tcW w:w="1417" w:type="dxa"/>
            <w:vAlign w:val="center"/>
          </w:tcPr>
          <w:p w14:paraId="1D66B07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w:t>
            </w:r>
          </w:p>
        </w:tc>
        <w:tc>
          <w:tcPr>
            <w:tcW w:w="1985" w:type="dxa"/>
            <w:vAlign w:val="center"/>
          </w:tcPr>
          <w:p w14:paraId="078B865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回用于清洗工序</w:t>
            </w:r>
          </w:p>
        </w:tc>
        <w:tc>
          <w:tcPr>
            <w:tcW w:w="3305" w:type="dxa"/>
            <w:vAlign w:val="center"/>
          </w:tcPr>
          <w:p w14:paraId="0EAC8BC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《城市污水再生利用 工业用水水质》（GB/T 19923-2005）</w:t>
            </w:r>
          </w:p>
        </w:tc>
      </w:tr>
      <w:tr w14:paraId="17CF00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continue"/>
            <w:vAlign w:val="center"/>
          </w:tcPr>
          <w:p w14:paraId="3B859E32">
            <w:pPr>
              <w:adjustRightInd w:val="0"/>
              <w:snapToGrid w:val="0"/>
              <w:jc w:val="center"/>
              <w:rPr>
                <w:color w:val="000000" w:themeColor="text1"/>
                <w:szCs w:val="21"/>
                <w14:textFill>
                  <w14:solidFill>
                    <w14:schemeClr w14:val="tx1"/>
                  </w14:solidFill>
                </w14:textFill>
              </w:rPr>
            </w:pPr>
          </w:p>
        </w:tc>
        <w:tc>
          <w:tcPr>
            <w:tcW w:w="1418" w:type="dxa"/>
            <w:gridSpan w:val="2"/>
            <w:vAlign w:val="center"/>
          </w:tcPr>
          <w:p w14:paraId="1012A9A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清洗废水</w:t>
            </w:r>
          </w:p>
        </w:tc>
        <w:tc>
          <w:tcPr>
            <w:tcW w:w="1417" w:type="dxa"/>
            <w:vAlign w:val="center"/>
          </w:tcPr>
          <w:p w14:paraId="3702213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N</w:t>
            </w:r>
          </w:p>
        </w:tc>
        <w:tc>
          <w:tcPr>
            <w:tcW w:w="1985" w:type="dxa"/>
            <w:vAlign w:val="center"/>
          </w:tcPr>
          <w:p w14:paraId="67C0F66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厂内一体化污水处理站处理后部分回用于清洗工序，其余部分经管网排入获嘉县香山家园污水处理厂进一步处理</w:t>
            </w:r>
          </w:p>
        </w:tc>
        <w:tc>
          <w:tcPr>
            <w:tcW w:w="3305" w:type="dxa"/>
            <w:vAlign w:val="center"/>
          </w:tcPr>
          <w:p w14:paraId="70B9827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获嘉县香山家园污水处理厂收水标准、《污水综合排放标准》（GB8978-1996）表4三级、《城市污水再生利用 工业用水水质》（GB/T 19923-2005）</w:t>
            </w:r>
          </w:p>
        </w:tc>
      </w:tr>
      <w:tr w14:paraId="13BBAD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Align w:val="center"/>
          </w:tcPr>
          <w:p w14:paraId="01F8F23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418" w:type="dxa"/>
            <w:gridSpan w:val="2"/>
            <w:vAlign w:val="center"/>
          </w:tcPr>
          <w:p w14:paraId="4670D623">
            <w:pPr>
              <w:pStyle w:val="86"/>
              <w:rPr>
                <w:color w:val="000000" w:themeColor="text1"/>
                <w:szCs w:val="21"/>
                <w14:textFill>
                  <w14:solidFill>
                    <w14:schemeClr w14:val="tx1"/>
                  </w14:solidFill>
                </w14:textFill>
              </w:rPr>
            </w:pPr>
            <w:r>
              <w:rPr>
                <w:rFonts w:hint="eastAsia"/>
                <w:lang w:val="zh-CN"/>
              </w:rPr>
              <w:t>高噪声设备</w:t>
            </w:r>
          </w:p>
        </w:tc>
        <w:tc>
          <w:tcPr>
            <w:tcW w:w="1417" w:type="dxa"/>
            <w:vAlign w:val="center"/>
          </w:tcPr>
          <w:p w14:paraId="71D3D25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985" w:type="dxa"/>
            <w:vAlign w:val="center"/>
          </w:tcPr>
          <w:p w14:paraId="6639F58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基础减振、厂房隔声</w:t>
            </w:r>
          </w:p>
        </w:tc>
        <w:tc>
          <w:tcPr>
            <w:tcW w:w="3305" w:type="dxa"/>
            <w:vAlign w:val="center"/>
          </w:tcPr>
          <w:p w14:paraId="588C26D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《工业企业厂界环境噪声排放标准》（GB12348-2008）</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类</w:t>
            </w:r>
          </w:p>
        </w:tc>
      </w:tr>
      <w:tr w14:paraId="74EEEE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Align w:val="center"/>
          </w:tcPr>
          <w:p w14:paraId="21F5161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1418" w:type="dxa"/>
            <w:gridSpan w:val="2"/>
            <w:vAlign w:val="center"/>
          </w:tcPr>
          <w:p w14:paraId="525DD2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417" w:type="dxa"/>
            <w:vAlign w:val="center"/>
          </w:tcPr>
          <w:p w14:paraId="7455671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985" w:type="dxa"/>
            <w:vAlign w:val="center"/>
          </w:tcPr>
          <w:p w14:paraId="0B6177B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305" w:type="dxa"/>
            <w:vAlign w:val="center"/>
          </w:tcPr>
          <w:p w14:paraId="35395E9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1B111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restart"/>
            <w:vAlign w:val="center"/>
          </w:tcPr>
          <w:p w14:paraId="0D36B8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1418" w:type="dxa"/>
            <w:gridSpan w:val="2"/>
            <w:vAlign w:val="center"/>
          </w:tcPr>
          <w:p w14:paraId="07503F8C">
            <w:pPr>
              <w:pStyle w:val="86"/>
            </w:pPr>
            <w:r>
              <w:rPr>
                <w:rFonts w:hint="eastAsia" w:ascii="宋体" w:hAnsi="宋体"/>
                <w:color w:val="000000"/>
              </w:rPr>
              <w:t>造粒工序</w:t>
            </w:r>
          </w:p>
        </w:tc>
        <w:tc>
          <w:tcPr>
            <w:tcW w:w="1417" w:type="dxa"/>
            <w:vAlign w:val="center"/>
          </w:tcPr>
          <w:p w14:paraId="2CA290D0">
            <w:pPr>
              <w:pStyle w:val="86"/>
            </w:pPr>
            <w:r>
              <w:rPr>
                <w:rFonts w:hint="eastAsia" w:ascii="宋体" w:hAnsi="宋体"/>
                <w:color w:val="000000"/>
              </w:rPr>
              <w:t>废边角料</w:t>
            </w:r>
          </w:p>
        </w:tc>
        <w:tc>
          <w:tcPr>
            <w:tcW w:w="1985" w:type="dxa"/>
            <w:vMerge w:val="restart"/>
            <w:vAlign w:val="center"/>
          </w:tcPr>
          <w:p w14:paraId="739A42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r>
              <w:rPr>
                <w:rFonts w:hint="eastAsia"/>
                <w:color w:val="000000" w:themeColor="text1"/>
                <w:szCs w:val="21"/>
                <w14:textFill>
                  <w14:solidFill>
                    <w14:schemeClr w14:val="tx1"/>
                  </w14:solidFill>
                </w14:textFill>
              </w:rPr>
              <w:t>暂存间</w:t>
            </w:r>
            <w:r>
              <w:rPr>
                <w:color w:val="000000" w:themeColor="text1"/>
                <w:szCs w:val="21"/>
                <w14:textFill>
                  <w14:solidFill>
                    <w14:schemeClr w14:val="tx1"/>
                  </w14:solidFill>
                </w14:textFill>
              </w:rPr>
              <w:t>1座（10m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3305" w:type="dxa"/>
            <w:vMerge w:val="restart"/>
            <w:vAlign w:val="center"/>
          </w:tcPr>
          <w:p w14:paraId="0002422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《一般工业固体废物贮存和填埋污染控制标准》（GB18599－2020）中“防渗漏、防雨淋、防扬尘”三防要求</w:t>
            </w:r>
          </w:p>
        </w:tc>
      </w:tr>
      <w:tr w14:paraId="30FFBF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continue"/>
            <w:vAlign w:val="center"/>
          </w:tcPr>
          <w:p w14:paraId="30E66C12">
            <w:pPr>
              <w:adjustRightInd w:val="0"/>
              <w:snapToGrid w:val="0"/>
              <w:jc w:val="center"/>
              <w:rPr>
                <w:color w:val="000000" w:themeColor="text1"/>
                <w:szCs w:val="21"/>
                <w14:textFill>
                  <w14:solidFill>
                    <w14:schemeClr w14:val="tx1"/>
                  </w14:solidFill>
                </w14:textFill>
              </w:rPr>
            </w:pPr>
          </w:p>
        </w:tc>
        <w:tc>
          <w:tcPr>
            <w:tcW w:w="1418" w:type="dxa"/>
            <w:gridSpan w:val="2"/>
            <w:vAlign w:val="center"/>
          </w:tcPr>
          <w:p w14:paraId="12CCB6FF">
            <w:pPr>
              <w:pStyle w:val="86"/>
            </w:pPr>
            <w:r>
              <w:rPr>
                <w:rFonts w:hint="eastAsia" w:ascii="宋体" w:hAnsi="宋体"/>
                <w:color w:val="000000"/>
              </w:rPr>
              <w:t>熔融挤出</w:t>
            </w:r>
          </w:p>
        </w:tc>
        <w:tc>
          <w:tcPr>
            <w:tcW w:w="1417" w:type="dxa"/>
            <w:vAlign w:val="center"/>
          </w:tcPr>
          <w:p w14:paraId="529520EA">
            <w:pPr>
              <w:pStyle w:val="86"/>
            </w:pPr>
            <w:r>
              <w:rPr>
                <w:rFonts w:hint="eastAsia" w:ascii="宋体" w:hAnsi="宋体"/>
                <w:color w:val="000000"/>
              </w:rPr>
              <w:t>废滤网</w:t>
            </w:r>
          </w:p>
        </w:tc>
        <w:tc>
          <w:tcPr>
            <w:tcW w:w="1985" w:type="dxa"/>
            <w:vMerge w:val="continue"/>
            <w:vAlign w:val="center"/>
          </w:tcPr>
          <w:p w14:paraId="3E1C8767">
            <w:pPr>
              <w:jc w:val="center"/>
              <w:rPr>
                <w:color w:val="000000" w:themeColor="text1"/>
                <w:szCs w:val="21"/>
                <w14:textFill>
                  <w14:solidFill>
                    <w14:schemeClr w14:val="tx1"/>
                  </w14:solidFill>
                </w14:textFill>
              </w:rPr>
            </w:pPr>
          </w:p>
        </w:tc>
        <w:tc>
          <w:tcPr>
            <w:tcW w:w="3305" w:type="dxa"/>
            <w:vMerge w:val="continue"/>
            <w:vAlign w:val="center"/>
          </w:tcPr>
          <w:p w14:paraId="67833E73">
            <w:pPr>
              <w:adjustRightInd w:val="0"/>
              <w:snapToGrid w:val="0"/>
              <w:jc w:val="center"/>
              <w:rPr>
                <w:color w:val="000000" w:themeColor="text1"/>
                <w:szCs w:val="21"/>
                <w14:textFill>
                  <w14:solidFill>
                    <w14:schemeClr w14:val="tx1"/>
                  </w14:solidFill>
                </w14:textFill>
              </w:rPr>
            </w:pPr>
          </w:p>
        </w:tc>
      </w:tr>
      <w:tr w14:paraId="02B27C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continue"/>
            <w:vAlign w:val="center"/>
          </w:tcPr>
          <w:p w14:paraId="41D726AC">
            <w:pPr>
              <w:adjustRightInd w:val="0"/>
              <w:snapToGrid w:val="0"/>
              <w:jc w:val="center"/>
              <w:rPr>
                <w:color w:val="000000" w:themeColor="text1"/>
                <w:szCs w:val="21"/>
                <w14:textFill>
                  <w14:solidFill>
                    <w14:schemeClr w14:val="tx1"/>
                  </w14:solidFill>
                </w14:textFill>
              </w:rPr>
            </w:pPr>
          </w:p>
        </w:tc>
        <w:tc>
          <w:tcPr>
            <w:tcW w:w="1418" w:type="dxa"/>
            <w:gridSpan w:val="2"/>
            <w:vAlign w:val="center"/>
          </w:tcPr>
          <w:p w14:paraId="75F36A20">
            <w:pPr>
              <w:pStyle w:val="86"/>
            </w:pPr>
            <w:r>
              <w:rPr>
                <w:rFonts w:hint="eastAsia" w:ascii="宋体" w:hAnsi="宋体"/>
              </w:rPr>
              <w:t>污水处理站</w:t>
            </w:r>
          </w:p>
        </w:tc>
        <w:tc>
          <w:tcPr>
            <w:tcW w:w="1417" w:type="dxa"/>
            <w:vAlign w:val="center"/>
          </w:tcPr>
          <w:p w14:paraId="163B3F12">
            <w:pPr>
              <w:pStyle w:val="86"/>
            </w:pPr>
            <w:r>
              <w:rPr>
                <w:rFonts w:hint="eastAsia" w:ascii="宋体" w:hAnsi="宋体"/>
              </w:rPr>
              <w:t>污泥</w:t>
            </w:r>
          </w:p>
        </w:tc>
        <w:tc>
          <w:tcPr>
            <w:tcW w:w="1985" w:type="dxa"/>
            <w:vMerge w:val="continue"/>
            <w:vAlign w:val="center"/>
          </w:tcPr>
          <w:p w14:paraId="79EF4950">
            <w:pPr>
              <w:jc w:val="center"/>
              <w:rPr>
                <w:color w:val="000000" w:themeColor="text1"/>
                <w:szCs w:val="21"/>
                <w14:textFill>
                  <w14:solidFill>
                    <w14:schemeClr w14:val="tx1"/>
                  </w14:solidFill>
                </w14:textFill>
              </w:rPr>
            </w:pPr>
          </w:p>
        </w:tc>
        <w:tc>
          <w:tcPr>
            <w:tcW w:w="3305" w:type="dxa"/>
            <w:vMerge w:val="continue"/>
            <w:vAlign w:val="center"/>
          </w:tcPr>
          <w:p w14:paraId="6BDC6F9B">
            <w:pPr>
              <w:adjustRightInd w:val="0"/>
              <w:snapToGrid w:val="0"/>
              <w:jc w:val="center"/>
              <w:rPr>
                <w:color w:val="000000" w:themeColor="text1"/>
                <w:szCs w:val="21"/>
                <w14:textFill>
                  <w14:solidFill>
                    <w14:schemeClr w14:val="tx1"/>
                  </w14:solidFill>
                </w14:textFill>
              </w:rPr>
            </w:pPr>
          </w:p>
        </w:tc>
      </w:tr>
      <w:tr w14:paraId="5B3897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99" w:type="dxa"/>
            <w:vMerge w:val="continue"/>
            <w:vAlign w:val="center"/>
          </w:tcPr>
          <w:p w14:paraId="5D511334">
            <w:pPr>
              <w:adjustRightInd w:val="0"/>
              <w:snapToGrid w:val="0"/>
              <w:jc w:val="center"/>
              <w:rPr>
                <w:color w:val="000000" w:themeColor="text1"/>
                <w:szCs w:val="21"/>
                <w14:textFill>
                  <w14:solidFill>
                    <w14:schemeClr w14:val="tx1"/>
                  </w14:solidFill>
                </w14:textFill>
              </w:rPr>
            </w:pPr>
          </w:p>
        </w:tc>
        <w:tc>
          <w:tcPr>
            <w:tcW w:w="1418" w:type="dxa"/>
            <w:gridSpan w:val="2"/>
            <w:vAlign w:val="center"/>
          </w:tcPr>
          <w:p w14:paraId="0A5A8E95">
            <w:pPr>
              <w:pStyle w:val="86"/>
            </w:pPr>
            <w:r>
              <w:rPr>
                <w:rFonts w:hint="eastAsia" w:ascii="宋体" w:hAnsi="宋体"/>
              </w:rPr>
              <w:t>废气治理</w:t>
            </w:r>
          </w:p>
        </w:tc>
        <w:tc>
          <w:tcPr>
            <w:tcW w:w="1417" w:type="dxa"/>
            <w:vAlign w:val="center"/>
          </w:tcPr>
          <w:p w14:paraId="4F1C91B1">
            <w:pPr>
              <w:pStyle w:val="86"/>
            </w:pPr>
            <w:r>
              <w:rPr>
                <w:rFonts w:hint="eastAsia" w:ascii="宋体" w:hAnsi="宋体"/>
              </w:rPr>
              <w:t>废油</w:t>
            </w:r>
          </w:p>
        </w:tc>
        <w:tc>
          <w:tcPr>
            <w:tcW w:w="1985" w:type="dxa"/>
            <w:vMerge w:val="restart"/>
            <w:vAlign w:val="center"/>
          </w:tcPr>
          <w:p w14:paraId="160E098C">
            <w:pPr>
              <w:adjustRightInd w:val="0"/>
              <w:snapToGrid w:val="0"/>
              <w:jc w:val="center"/>
              <w:rPr>
                <w:szCs w:val="21"/>
              </w:rPr>
            </w:pPr>
            <w:r>
              <w:rPr>
                <w:rFonts w:hint="eastAsia"/>
                <w:szCs w:val="21"/>
              </w:rPr>
              <w:t>危废暂存间</w:t>
            </w:r>
            <w:r>
              <w:rPr>
                <w:szCs w:val="21"/>
              </w:rPr>
              <w:t>1</w:t>
            </w:r>
            <w:r>
              <w:rPr>
                <w:rFonts w:hint="eastAsia"/>
                <w:szCs w:val="21"/>
              </w:rPr>
              <w:t>座（5</w:t>
            </w:r>
            <w:r>
              <w:rPr>
                <w:szCs w:val="21"/>
              </w:rPr>
              <w:t>m</w:t>
            </w:r>
            <w:r>
              <w:rPr>
                <w:szCs w:val="21"/>
                <w:vertAlign w:val="superscript"/>
              </w:rPr>
              <w:t>2</w:t>
            </w:r>
            <w:r>
              <w:rPr>
                <w:rFonts w:hint="eastAsia"/>
                <w:szCs w:val="21"/>
              </w:rPr>
              <w:t>）</w:t>
            </w:r>
          </w:p>
        </w:tc>
        <w:tc>
          <w:tcPr>
            <w:tcW w:w="3305" w:type="dxa"/>
            <w:vMerge w:val="restart"/>
            <w:vAlign w:val="center"/>
          </w:tcPr>
          <w:p w14:paraId="3390F5F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《危险废物贮存污染控制标准》（GB18597-2023）</w:t>
            </w:r>
          </w:p>
        </w:tc>
      </w:tr>
      <w:tr w14:paraId="62D98E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99" w:type="dxa"/>
            <w:vMerge w:val="continue"/>
            <w:vAlign w:val="center"/>
          </w:tcPr>
          <w:p w14:paraId="05BC84F2">
            <w:pPr>
              <w:adjustRightInd w:val="0"/>
              <w:snapToGrid w:val="0"/>
              <w:jc w:val="center"/>
              <w:rPr>
                <w:color w:val="000000" w:themeColor="text1"/>
                <w:szCs w:val="21"/>
                <w14:textFill>
                  <w14:solidFill>
                    <w14:schemeClr w14:val="tx1"/>
                  </w14:solidFill>
                </w14:textFill>
              </w:rPr>
            </w:pPr>
          </w:p>
        </w:tc>
        <w:tc>
          <w:tcPr>
            <w:tcW w:w="1418" w:type="dxa"/>
            <w:gridSpan w:val="2"/>
            <w:vAlign w:val="center"/>
          </w:tcPr>
          <w:p w14:paraId="2C44E6BF">
            <w:pPr>
              <w:pStyle w:val="86"/>
              <w:rPr>
                <w:rFonts w:hint="eastAsia" w:ascii="宋体" w:hAnsi="宋体"/>
              </w:rPr>
            </w:pPr>
            <w:r>
              <w:rPr>
                <w:rFonts w:hint="eastAsia" w:ascii="宋体" w:hAnsi="宋体"/>
              </w:rPr>
              <w:t>废气治理</w:t>
            </w:r>
          </w:p>
        </w:tc>
        <w:tc>
          <w:tcPr>
            <w:tcW w:w="1417" w:type="dxa"/>
            <w:vAlign w:val="center"/>
          </w:tcPr>
          <w:p w14:paraId="6A54F504">
            <w:pPr>
              <w:pStyle w:val="86"/>
              <w:rPr>
                <w:rFonts w:hint="eastAsia" w:ascii="宋体" w:hAnsi="宋体"/>
              </w:rPr>
            </w:pPr>
            <w:r>
              <w:rPr>
                <w:rFonts w:hint="eastAsia" w:ascii="宋体" w:hAnsi="宋体"/>
              </w:rPr>
              <w:t>废活性炭</w:t>
            </w:r>
          </w:p>
        </w:tc>
        <w:tc>
          <w:tcPr>
            <w:tcW w:w="1985" w:type="dxa"/>
            <w:vMerge w:val="continue"/>
            <w:vAlign w:val="center"/>
          </w:tcPr>
          <w:p w14:paraId="58488D2B">
            <w:pPr>
              <w:adjustRightInd w:val="0"/>
              <w:snapToGrid w:val="0"/>
              <w:jc w:val="center"/>
              <w:rPr>
                <w:szCs w:val="21"/>
              </w:rPr>
            </w:pPr>
          </w:p>
        </w:tc>
        <w:tc>
          <w:tcPr>
            <w:tcW w:w="3305" w:type="dxa"/>
            <w:vMerge w:val="continue"/>
            <w:vAlign w:val="center"/>
          </w:tcPr>
          <w:p w14:paraId="725C87FB">
            <w:pPr>
              <w:adjustRightInd w:val="0"/>
              <w:snapToGrid w:val="0"/>
              <w:jc w:val="center"/>
              <w:rPr>
                <w:color w:val="000000" w:themeColor="text1"/>
                <w:szCs w:val="21"/>
                <w14:textFill>
                  <w14:solidFill>
                    <w14:schemeClr w14:val="tx1"/>
                  </w14:solidFill>
                </w14:textFill>
              </w:rPr>
            </w:pPr>
          </w:p>
        </w:tc>
      </w:tr>
      <w:tr w14:paraId="041051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699" w:type="dxa"/>
            <w:vMerge w:val="continue"/>
            <w:vAlign w:val="center"/>
          </w:tcPr>
          <w:p w14:paraId="25149393">
            <w:pPr>
              <w:adjustRightInd w:val="0"/>
              <w:snapToGrid w:val="0"/>
              <w:jc w:val="center"/>
              <w:rPr>
                <w:color w:val="000000" w:themeColor="text1"/>
                <w:szCs w:val="21"/>
                <w14:textFill>
                  <w14:solidFill>
                    <w14:schemeClr w14:val="tx1"/>
                  </w14:solidFill>
                </w14:textFill>
              </w:rPr>
            </w:pPr>
          </w:p>
        </w:tc>
        <w:tc>
          <w:tcPr>
            <w:tcW w:w="1418" w:type="dxa"/>
            <w:gridSpan w:val="2"/>
            <w:vAlign w:val="center"/>
          </w:tcPr>
          <w:p w14:paraId="216E2361">
            <w:pPr>
              <w:pStyle w:val="86"/>
            </w:pPr>
            <w:r>
              <w:rPr>
                <w:rFonts w:hint="eastAsia" w:ascii="宋体" w:hAnsi="宋体"/>
              </w:rPr>
              <w:t>废气治理</w:t>
            </w:r>
          </w:p>
        </w:tc>
        <w:tc>
          <w:tcPr>
            <w:tcW w:w="1417" w:type="dxa"/>
            <w:vAlign w:val="center"/>
          </w:tcPr>
          <w:p w14:paraId="195003D4">
            <w:pPr>
              <w:pStyle w:val="86"/>
            </w:pPr>
            <w:r>
              <w:rPr>
                <w:rFonts w:hint="eastAsia" w:ascii="宋体" w:hAnsi="宋体"/>
              </w:rPr>
              <w:t>废催化剂</w:t>
            </w:r>
          </w:p>
        </w:tc>
        <w:tc>
          <w:tcPr>
            <w:tcW w:w="1985" w:type="dxa"/>
            <w:vMerge w:val="continue"/>
            <w:vAlign w:val="center"/>
          </w:tcPr>
          <w:p w14:paraId="2DAF8959">
            <w:pPr>
              <w:jc w:val="center"/>
              <w:rPr>
                <w:color w:val="000000" w:themeColor="text1"/>
                <w:szCs w:val="21"/>
                <w14:textFill>
                  <w14:solidFill>
                    <w14:schemeClr w14:val="tx1"/>
                  </w14:solidFill>
                </w14:textFill>
              </w:rPr>
            </w:pPr>
          </w:p>
        </w:tc>
        <w:tc>
          <w:tcPr>
            <w:tcW w:w="3305" w:type="dxa"/>
            <w:vMerge w:val="continue"/>
            <w:vAlign w:val="center"/>
          </w:tcPr>
          <w:p w14:paraId="4234F10D">
            <w:pPr>
              <w:jc w:val="center"/>
              <w:rPr>
                <w:color w:val="000000" w:themeColor="text1"/>
                <w:szCs w:val="21"/>
                <w14:textFill>
                  <w14:solidFill>
                    <w14:schemeClr w14:val="tx1"/>
                  </w14:solidFill>
                </w14:textFill>
              </w:rPr>
            </w:pPr>
          </w:p>
        </w:tc>
      </w:tr>
      <w:tr w14:paraId="775475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99" w:type="dxa"/>
            <w:vAlign w:val="center"/>
          </w:tcPr>
          <w:p w14:paraId="7EBB5F5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8125" w:type="dxa"/>
            <w:gridSpan w:val="5"/>
            <w:vAlign w:val="center"/>
          </w:tcPr>
          <w:p w14:paraId="75451C1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污水处理站、危废暂存间均采取防腐防渗措施</w:t>
            </w:r>
          </w:p>
        </w:tc>
      </w:tr>
      <w:tr w14:paraId="43C7DB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99" w:type="dxa"/>
            <w:vAlign w:val="center"/>
          </w:tcPr>
          <w:p w14:paraId="7E2AB2C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8125" w:type="dxa"/>
            <w:gridSpan w:val="5"/>
            <w:vAlign w:val="center"/>
          </w:tcPr>
          <w:p w14:paraId="4719CC8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55F372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99" w:type="dxa"/>
            <w:vAlign w:val="center"/>
          </w:tcPr>
          <w:p w14:paraId="6546B2B0">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14:paraId="6441E486">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8125" w:type="dxa"/>
            <w:gridSpan w:val="5"/>
            <w:vAlign w:val="center"/>
          </w:tcPr>
          <w:p w14:paraId="4EE8D9AC">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388958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restart"/>
            <w:vAlign w:val="center"/>
          </w:tcPr>
          <w:p w14:paraId="776A4883">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14:paraId="436CBEDA">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8125" w:type="dxa"/>
            <w:gridSpan w:val="5"/>
            <w:vAlign w:val="center"/>
          </w:tcPr>
          <w:p w14:paraId="3DE29560">
            <w:pPr>
              <w:adjustRightInd w:val="0"/>
              <w:snapToGrid w:val="0"/>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按照排污许可技术规范、年度污染防治攻坚方案、专项整治方案以及绩效分级评级指南等要求安装相关环保监控、监测设备。</w:t>
            </w:r>
          </w:p>
        </w:tc>
      </w:tr>
      <w:tr w14:paraId="49F708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9" w:type="dxa"/>
            <w:vMerge w:val="continue"/>
            <w:vAlign w:val="center"/>
          </w:tcPr>
          <w:p w14:paraId="080570DB">
            <w:pPr>
              <w:adjustRightInd w:val="0"/>
              <w:snapToGrid w:val="0"/>
              <w:jc w:val="center"/>
              <w:rPr>
                <w:color w:val="000000" w:themeColor="text1"/>
                <w:spacing w:val="-8"/>
                <w:szCs w:val="21"/>
                <w14:textFill>
                  <w14:solidFill>
                    <w14:schemeClr w14:val="tx1"/>
                  </w14:solidFill>
                </w14:textFill>
              </w:rPr>
            </w:pPr>
          </w:p>
        </w:tc>
        <w:tc>
          <w:tcPr>
            <w:tcW w:w="8125" w:type="dxa"/>
            <w:gridSpan w:val="5"/>
            <w:vAlign w:val="center"/>
          </w:tcPr>
          <w:p w14:paraId="53C736C2">
            <w:pPr>
              <w:adjustRightInd w:val="0"/>
              <w:snapToGrid w:val="0"/>
              <w:ind w:firstLine="420" w:firstLineChars="200"/>
            </w:pPr>
            <w:r>
              <w:t>本项目在</w:t>
            </w:r>
            <w:r>
              <w:rPr>
                <w:rFonts w:hint="eastAsia"/>
              </w:rPr>
              <w:t>生产</w:t>
            </w:r>
            <w:r>
              <w:t>运行阶段的污染源监测计划见下表。</w:t>
            </w:r>
          </w:p>
          <w:p w14:paraId="1C8C88F8">
            <w:pPr>
              <w:pStyle w:val="67"/>
              <w:ind w:firstLine="480"/>
            </w:pPr>
            <w:r>
              <w:t xml:space="preserve">                污染源自行监测计划表</w:t>
            </w:r>
          </w:p>
          <w:tbl>
            <w:tblPr>
              <w:tblStyle w:val="21"/>
              <w:tblW w:w="797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8"/>
              <w:gridCol w:w="567"/>
              <w:gridCol w:w="851"/>
              <w:gridCol w:w="850"/>
              <w:gridCol w:w="992"/>
              <w:gridCol w:w="1003"/>
              <w:gridCol w:w="3250"/>
            </w:tblGrid>
            <w:tr w14:paraId="532875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gridSpan w:val="2"/>
                  <w:vAlign w:val="center"/>
                </w:tcPr>
                <w:p w14:paraId="681A2DEC">
                  <w:pPr>
                    <w:adjustRightInd w:val="0"/>
                    <w:snapToGrid w:val="0"/>
                    <w:jc w:val="center"/>
                    <w:rPr>
                      <w:b/>
                      <w:bCs/>
                      <w:sz w:val="18"/>
                      <w:szCs w:val="21"/>
                    </w:rPr>
                  </w:pPr>
                  <w:r>
                    <w:rPr>
                      <w:b/>
                      <w:bCs/>
                      <w:sz w:val="18"/>
                      <w:szCs w:val="21"/>
                    </w:rPr>
                    <w:t>监控类别</w:t>
                  </w:r>
                </w:p>
              </w:tc>
              <w:tc>
                <w:tcPr>
                  <w:tcW w:w="1701" w:type="dxa"/>
                  <w:gridSpan w:val="2"/>
                  <w:vAlign w:val="center"/>
                </w:tcPr>
                <w:p w14:paraId="4F60B477">
                  <w:pPr>
                    <w:adjustRightInd w:val="0"/>
                    <w:snapToGrid w:val="0"/>
                    <w:jc w:val="center"/>
                    <w:rPr>
                      <w:b/>
                      <w:bCs/>
                      <w:sz w:val="18"/>
                      <w:szCs w:val="21"/>
                    </w:rPr>
                  </w:pPr>
                  <w:r>
                    <w:rPr>
                      <w:b/>
                      <w:bCs/>
                      <w:sz w:val="18"/>
                      <w:szCs w:val="21"/>
                    </w:rPr>
                    <w:t>监测指标</w:t>
                  </w:r>
                </w:p>
              </w:tc>
              <w:tc>
                <w:tcPr>
                  <w:tcW w:w="992" w:type="dxa"/>
                  <w:vAlign w:val="center"/>
                </w:tcPr>
                <w:p w14:paraId="4BF80B20">
                  <w:pPr>
                    <w:adjustRightInd w:val="0"/>
                    <w:snapToGrid w:val="0"/>
                    <w:jc w:val="center"/>
                    <w:rPr>
                      <w:b/>
                      <w:bCs/>
                      <w:sz w:val="18"/>
                      <w:szCs w:val="21"/>
                    </w:rPr>
                  </w:pPr>
                  <w:r>
                    <w:rPr>
                      <w:b/>
                      <w:bCs/>
                      <w:sz w:val="18"/>
                      <w:szCs w:val="21"/>
                    </w:rPr>
                    <w:t>监测点位</w:t>
                  </w:r>
                </w:p>
              </w:tc>
              <w:tc>
                <w:tcPr>
                  <w:tcW w:w="1003" w:type="dxa"/>
                  <w:vAlign w:val="center"/>
                </w:tcPr>
                <w:p w14:paraId="05CFB8EC">
                  <w:pPr>
                    <w:adjustRightInd w:val="0"/>
                    <w:snapToGrid w:val="0"/>
                    <w:jc w:val="center"/>
                    <w:rPr>
                      <w:b/>
                      <w:bCs/>
                      <w:sz w:val="18"/>
                      <w:szCs w:val="21"/>
                    </w:rPr>
                  </w:pPr>
                  <w:r>
                    <w:rPr>
                      <w:b/>
                      <w:bCs/>
                      <w:sz w:val="18"/>
                      <w:szCs w:val="21"/>
                    </w:rPr>
                    <w:t>监测频次</w:t>
                  </w:r>
                </w:p>
              </w:tc>
              <w:tc>
                <w:tcPr>
                  <w:tcW w:w="3250" w:type="dxa"/>
                  <w:vAlign w:val="center"/>
                </w:tcPr>
                <w:p w14:paraId="0CF5F79A">
                  <w:pPr>
                    <w:adjustRightInd w:val="0"/>
                    <w:snapToGrid w:val="0"/>
                    <w:jc w:val="center"/>
                    <w:rPr>
                      <w:b/>
                      <w:bCs/>
                      <w:sz w:val="18"/>
                      <w:szCs w:val="21"/>
                    </w:rPr>
                  </w:pPr>
                  <w:r>
                    <w:rPr>
                      <w:b/>
                      <w:bCs/>
                      <w:sz w:val="18"/>
                      <w:szCs w:val="21"/>
                    </w:rPr>
                    <w:t>执行排放标准</w:t>
                  </w:r>
                </w:p>
              </w:tc>
            </w:tr>
            <w:tr w14:paraId="558830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vMerge w:val="restart"/>
                  <w:vAlign w:val="center"/>
                </w:tcPr>
                <w:p w14:paraId="522EF147">
                  <w:pPr>
                    <w:adjustRightInd w:val="0"/>
                    <w:snapToGrid w:val="0"/>
                    <w:jc w:val="center"/>
                    <w:rPr>
                      <w:sz w:val="18"/>
                      <w:szCs w:val="21"/>
                    </w:rPr>
                  </w:pPr>
                  <w:r>
                    <w:rPr>
                      <w:sz w:val="18"/>
                      <w:szCs w:val="21"/>
                    </w:rPr>
                    <w:t>废气</w:t>
                  </w:r>
                </w:p>
              </w:tc>
              <w:tc>
                <w:tcPr>
                  <w:tcW w:w="567" w:type="dxa"/>
                  <w:vAlign w:val="center"/>
                </w:tcPr>
                <w:p w14:paraId="6DEB2095">
                  <w:pPr>
                    <w:adjustRightInd w:val="0"/>
                    <w:snapToGrid w:val="0"/>
                    <w:jc w:val="center"/>
                    <w:rPr>
                      <w:sz w:val="18"/>
                      <w:szCs w:val="21"/>
                    </w:rPr>
                  </w:pPr>
                  <w:r>
                    <w:rPr>
                      <w:sz w:val="18"/>
                      <w:szCs w:val="21"/>
                    </w:rPr>
                    <w:t>有组织</w:t>
                  </w:r>
                </w:p>
              </w:tc>
              <w:tc>
                <w:tcPr>
                  <w:tcW w:w="851" w:type="dxa"/>
                  <w:vAlign w:val="center"/>
                </w:tcPr>
                <w:p w14:paraId="704DF4A1">
                  <w:pPr>
                    <w:pStyle w:val="86"/>
                    <w:rPr>
                      <w:sz w:val="18"/>
                      <w:szCs w:val="21"/>
                    </w:rPr>
                  </w:pPr>
                  <w:r>
                    <w:rPr>
                      <w:rFonts w:hint="eastAsia"/>
                      <w:sz w:val="18"/>
                      <w:szCs w:val="21"/>
                    </w:rPr>
                    <w:t>非甲烷总烃</w:t>
                  </w:r>
                </w:p>
              </w:tc>
              <w:tc>
                <w:tcPr>
                  <w:tcW w:w="850" w:type="dxa"/>
                  <w:vAlign w:val="center"/>
                </w:tcPr>
                <w:p w14:paraId="79AEB21B">
                  <w:pPr>
                    <w:adjustRightInd w:val="0"/>
                    <w:snapToGrid w:val="0"/>
                    <w:jc w:val="center"/>
                    <w:rPr>
                      <w:sz w:val="18"/>
                      <w:szCs w:val="21"/>
                    </w:rPr>
                  </w:pPr>
                  <w:r>
                    <w:rPr>
                      <w:sz w:val="18"/>
                      <w:szCs w:val="21"/>
                    </w:rPr>
                    <w:t>浓度、速率、废气量</w:t>
                  </w:r>
                </w:p>
              </w:tc>
              <w:tc>
                <w:tcPr>
                  <w:tcW w:w="992" w:type="dxa"/>
                  <w:vAlign w:val="center"/>
                </w:tcPr>
                <w:p w14:paraId="3DF3AC1F">
                  <w:pPr>
                    <w:pStyle w:val="86"/>
                    <w:rPr>
                      <w:sz w:val="18"/>
                      <w:szCs w:val="21"/>
                      <w:lang w:val="zh-CN"/>
                    </w:rPr>
                  </w:pPr>
                  <w:r>
                    <w:rPr>
                      <w:sz w:val="18"/>
                      <w:szCs w:val="21"/>
                    </w:rPr>
                    <w:t>DA002</w:t>
                  </w:r>
                </w:p>
              </w:tc>
              <w:tc>
                <w:tcPr>
                  <w:tcW w:w="1003" w:type="dxa"/>
                  <w:vAlign w:val="center"/>
                </w:tcPr>
                <w:p w14:paraId="481EF3E8">
                  <w:pPr>
                    <w:adjustRightInd w:val="0"/>
                    <w:snapToGrid w:val="0"/>
                    <w:jc w:val="center"/>
                    <w:rPr>
                      <w:sz w:val="18"/>
                      <w:szCs w:val="21"/>
                      <w:lang w:val="zh-CN"/>
                    </w:rPr>
                  </w:pPr>
                  <w:r>
                    <w:rPr>
                      <w:sz w:val="18"/>
                      <w:szCs w:val="21"/>
                      <w:lang w:val="zh-CN"/>
                    </w:rPr>
                    <w:t>1次/</w:t>
                  </w:r>
                  <w:r>
                    <w:rPr>
                      <w:rFonts w:hint="eastAsia"/>
                      <w:sz w:val="18"/>
                      <w:szCs w:val="21"/>
                    </w:rPr>
                    <w:t>半</w:t>
                  </w:r>
                  <w:r>
                    <w:rPr>
                      <w:sz w:val="18"/>
                      <w:szCs w:val="21"/>
                      <w:lang w:val="zh-CN"/>
                    </w:rPr>
                    <w:t>年</w:t>
                  </w:r>
                </w:p>
              </w:tc>
              <w:tc>
                <w:tcPr>
                  <w:tcW w:w="3250" w:type="dxa"/>
                  <w:vAlign w:val="center"/>
                </w:tcPr>
                <w:p w14:paraId="667FF288">
                  <w:pPr>
                    <w:pStyle w:val="86"/>
                    <w:rPr>
                      <w:kern w:val="2"/>
                      <w:sz w:val="18"/>
                      <w:szCs w:val="21"/>
                    </w:rPr>
                  </w:pPr>
                  <w:r>
                    <w:rPr>
                      <w:rFonts w:hint="eastAsia"/>
                      <w:sz w:val="18"/>
                      <w:szCs w:val="21"/>
                    </w:rPr>
                    <w:t>《合成树脂工业污染物排放标准》（GB 31572-2015）含2024年修改单表5非甲烷总烃有组织排放浓度60 mg/m</w:t>
                  </w:r>
                  <w:r>
                    <w:rPr>
                      <w:rFonts w:hint="eastAsia"/>
                      <w:sz w:val="18"/>
                      <w:szCs w:val="21"/>
                      <w:vertAlign w:val="superscript"/>
                    </w:rPr>
                    <w:t>3</w:t>
                  </w:r>
                  <w:r>
                    <w:rPr>
                      <w:rFonts w:hint="eastAsia"/>
                      <w:sz w:val="18"/>
                      <w:szCs w:val="21"/>
                    </w:rPr>
                    <w:t>的限值要求、河南省环境污染防治攻坚领导小组办公室文件《关于全省开展工业企业挥发性有机物专项治理工作中排放建议限值的通知》（豫环攻坚办（2017）162号）中附件1：其他行业有机废气排放口非甲烷总烃建议去除率≥70%的要求、《河南省重污染天气重点行业应急减排措施制定技术指南（2024年修订版）》中塑料制品行业A级非甲烷总烃有组织排放浓度10 mg/m</w:t>
                  </w:r>
                  <w:r>
                    <w:rPr>
                      <w:rFonts w:hint="eastAsia"/>
                      <w:sz w:val="18"/>
                      <w:szCs w:val="21"/>
                      <w:vertAlign w:val="superscript"/>
                    </w:rPr>
                    <w:t>3</w:t>
                  </w:r>
                  <w:r>
                    <w:rPr>
                      <w:rFonts w:hint="eastAsia"/>
                      <w:sz w:val="18"/>
                      <w:szCs w:val="21"/>
                    </w:rPr>
                    <w:t>的限值要求</w:t>
                  </w:r>
                </w:p>
              </w:tc>
            </w:tr>
            <w:tr w14:paraId="7849C8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dxa"/>
                  <w:vMerge w:val="continue"/>
                  <w:vAlign w:val="center"/>
                </w:tcPr>
                <w:p w14:paraId="556C523B">
                  <w:pPr>
                    <w:adjustRightInd w:val="0"/>
                    <w:snapToGrid w:val="0"/>
                    <w:jc w:val="center"/>
                    <w:rPr>
                      <w:sz w:val="18"/>
                      <w:szCs w:val="21"/>
                    </w:rPr>
                  </w:pPr>
                </w:p>
              </w:tc>
              <w:tc>
                <w:tcPr>
                  <w:tcW w:w="567" w:type="dxa"/>
                  <w:vAlign w:val="center"/>
                </w:tcPr>
                <w:p w14:paraId="379B8623">
                  <w:pPr>
                    <w:adjustRightInd w:val="0"/>
                    <w:snapToGrid w:val="0"/>
                    <w:jc w:val="center"/>
                    <w:rPr>
                      <w:sz w:val="18"/>
                      <w:szCs w:val="21"/>
                    </w:rPr>
                  </w:pPr>
                  <w:r>
                    <w:rPr>
                      <w:sz w:val="18"/>
                      <w:szCs w:val="21"/>
                    </w:rPr>
                    <w:t>无组织</w:t>
                  </w:r>
                </w:p>
              </w:tc>
              <w:tc>
                <w:tcPr>
                  <w:tcW w:w="851" w:type="dxa"/>
                  <w:vAlign w:val="center"/>
                </w:tcPr>
                <w:p w14:paraId="6475CB59">
                  <w:pPr>
                    <w:adjustRightInd w:val="0"/>
                    <w:snapToGrid w:val="0"/>
                    <w:jc w:val="center"/>
                    <w:rPr>
                      <w:sz w:val="18"/>
                      <w:szCs w:val="21"/>
                    </w:rPr>
                  </w:pPr>
                  <w:r>
                    <w:rPr>
                      <w:rFonts w:hint="eastAsia"/>
                      <w:sz w:val="18"/>
                      <w:szCs w:val="21"/>
                      <w:lang w:val="zh-CN"/>
                    </w:rPr>
                    <w:t>非甲烷总烃</w:t>
                  </w:r>
                </w:p>
              </w:tc>
              <w:tc>
                <w:tcPr>
                  <w:tcW w:w="850" w:type="dxa"/>
                  <w:vAlign w:val="center"/>
                </w:tcPr>
                <w:p w14:paraId="1606FEFC">
                  <w:pPr>
                    <w:adjustRightInd w:val="0"/>
                    <w:snapToGrid w:val="0"/>
                    <w:jc w:val="center"/>
                    <w:rPr>
                      <w:sz w:val="18"/>
                      <w:szCs w:val="21"/>
                    </w:rPr>
                  </w:pPr>
                  <w:r>
                    <w:rPr>
                      <w:sz w:val="18"/>
                      <w:szCs w:val="21"/>
                    </w:rPr>
                    <w:t>排放浓度</w:t>
                  </w:r>
                </w:p>
              </w:tc>
              <w:tc>
                <w:tcPr>
                  <w:tcW w:w="992" w:type="dxa"/>
                  <w:vAlign w:val="center"/>
                </w:tcPr>
                <w:p w14:paraId="2570C15F">
                  <w:pPr>
                    <w:autoSpaceDE w:val="0"/>
                    <w:autoSpaceDN w:val="0"/>
                    <w:adjustRightInd w:val="0"/>
                    <w:snapToGrid w:val="0"/>
                    <w:jc w:val="center"/>
                    <w:rPr>
                      <w:sz w:val="18"/>
                      <w:szCs w:val="21"/>
                    </w:rPr>
                  </w:pPr>
                  <w:r>
                    <w:rPr>
                      <w:sz w:val="18"/>
                      <w:szCs w:val="21"/>
                      <w:lang w:val="zh-CN"/>
                    </w:rPr>
                    <w:t>厂界</w:t>
                  </w:r>
                </w:p>
              </w:tc>
              <w:tc>
                <w:tcPr>
                  <w:tcW w:w="1003" w:type="dxa"/>
                  <w:vAlign w:val="center"/>
                </w:tcPr>
                <w:p w14:paraId="71B71959">
                  <w:pPr>
                    <w:adjustRightInd w:val="0"/>
                    <w:snapToGrid w:val="0"/>
                    <w:jc w:val="center"/>
                    <w:rPr>
                      <w:sz w:val="18"/>
                      <w:szCs w:val="21"/>
                    </w:rPr>
                  </w:pPr>
                  <w:r>
                    <w:rPr>
                      <w:sz w:val="18"/>
                      <w:szCs w:val="21"/>
                    </w:rPr>
                    <w:t>1次/</w:t>
                  </w:r>
                  <w:r>
                    <w:rPr>
                      <w:rFonts w:hint="eastAsia"/>
                      <w:sz w:val="18"/>
                      <w:szCs w:val="21"/>
                    </w:rPr>
                    <w:t>半</w:t>
                  </w:r>
                  <w:r>
                    <w:rPr>
                      <w:sz w:val="18"/>
                      <w:szCs w:val="21"/>
                    </w:rPr>
                    <w:t>年</w:t>
                  </w:r>
                </w:p>
              </w:tc>
              <w:tc>
                <w:tcPr>
                  <w:tcW w:w="3250" w:type="dxa"/>
                  <w:vAlign w:val="center"/>
                </w:tcPr>
                <w:p w14:paraId="1854623F">
                  <w:pPr>
                    <w:adjustRightInd w:val="0"/>
                    <w:snapToGrid w:val="0"/>
                    <w:jc w:val="center"/>
                    <w:rPr>
                      <w:sz w:val="18"/>
                      <w:szCs w:val="21"/>
                      <w:lang w:val="zh-CN"/>
                    </w:rPr>
                  </w:pPr>
                  <w:r>
                    <w:rPr>
                      <w:rFonts w:hint="eastAsia"/>
                      <w:sz w:val="18"/>
                      <w:szCs w:val="21"/>
                      <w:lang w:val="zh-CN"/>
                    </w:rPr>
                    <w:t>《关于全省开展工业企业挥发性有机物专项治理工作中排放建议值的通知》（豫环攻坚办〔2017〕162号）</w:t>
                  </w:r>
                </w:p>
              </w:tc>
            </w:tr>
            <w:tr w14:paraId="3529F7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gridSpan w:val="2"/>
                  <w:vAlign w:val="center"/>
                </w:tcPr>
                <w:p w14:paraId="0EC2D137">
                  <w:pPr>
                    <w:adjustRightInd w:val="0"/>
                    <w:snapToGrid w:val="0"/>
                    <w:jc w:val="center"/>
                    <w:rPr>
                      <w:sz w:val="18"/>
                      <w:szCs w:val="21"/>
                    </w:rPr>
                  </w:pPr>
                  <w:r>
                    <w:rPr>
                      <w:rFonts w:hint="eastAsia"/>
                      <w:sz w:val="18"/>
                      <w:szCs w:val="21"/>
                    </w:rPr>
                    <w:t>废水</w:t>
                  </w:r>
                </w:p>
              </w:tc>
              <w:tc>
                <w:tcPr>
                  <w:tcW w:w="1701" w:type="dxa"/>
                  <w:gridSpan w:val="2"/>
                  <w:vAlign w:val="center"/>
                </w:tcPr>
                <w:p w14:paraId="62E0EF77">
                  <w:pPr>
                    <w:adjustRightInd w:val="0"/>
                    <w:snapToGrid w:val="0"/>
                    <w:jc w:val="center"/>
                    <w:rPr>
                      <w:sz w:val="18"/>
                      <w:szCs w:val="21"/>
                    </w:rPr>
                  </w:pPr>
                  <w:r>
                    <w:rPr>
                      <w:rFonts w:hint="eastAsia"/>
                      <w:sz w:val="18"/>
                      <w:szCs w:val="21"/>
                    </w:rPr>
                    <w:t>pH</w:t>
                  </w:r>
                  <w:r>
                    <w:rPr>
                      <w:rFonts w:hint="eastAsia"/>
                      <w:sz w:val="18"/>
                      <w:szCs w:val="21"/>
                      <w:lang w:val="zh-CN"/>
                    </w:rPr>
                    <w:t>、</w:t>
                  </w:r>
                  <w:r>
                    <w:rPr>
                      <w:rFonts w:hint="eastAsia"/>
                      <w:sz w:val="18"/>
                      <w:szCs w:val="21"/>
                    </w:rPr>
                    <w:t>TP</w:t>
                  </w:r>
                  <w:r>
                    <w:rPr>
                      <w:rFonts w:hint="eastAsia"/>
                      <w:sz w:val="18"/>
                      <w:szCs w:val="21"/>
                      <w:lang w:val="zh-CN"/>
                    </w:rPr>
                    <w:t>、</w:t>
                  </w:r>
                  <w:r>
                    <w:rPr>
                      <w:sz w:val="18"/>
                      <w:szCs w:val="21"/>
                    </w:rPr>
                    <w:t>COD</w:t>
                  </w:r>
                  <w:r>
                    <w:rPr>
                      <w:rFonts w:hint="eastAsia"/>
                      <w:sz w:val="18"/>
                      <w:szCs w:val="21"/>
                      <w:lang w:val="zh-CN"/>
                    </w:rPr>
                    <w:t>、</w:t>
                  </w:r>
                  <w:r>
                    <w:rPr>
                      <w:rFonts w:hint="eastAsia"/>
                      <w:sz w:val="18"/>
                      <w:szCs w:val="21"/>
                    </w:rPr>
                    <w:t>NH</w:t>
                  </w:r>
                  <w:r>
                    <w:rPr>
                      <w:rFonts w:hint="eastAsia"/>
                      <w:sz w:val="18"/>
                      <w:szCs w:val="21"/>
                      <w:vertAlign w:val="subscript"/>
                    </w:rPr>
                    <w:t>3</w:t>
                  </w:r>
                  <w:r>
                    <w:rPr>
                      <w:rFonts w:hint="eastAsia"/>
                      <w:sz w:val="18"/>
                      <w:szCs w:val="21"/>
                    </w:rPr>
                    <w:t>-N</w:t>
                  </w:r>
                  <w:r>
                    <w:rPr>
                      <w:rFonts w:hint="eastAsia"/>
                      <w:sz w:val="18"/>
                      <w:szCs w:val="21"/>
                      <w:lang w:val="zh-CN"/>
                    </w:rPr>
                    <w:t>、</w:t>
                  </w:r>
                  <w:r>
                    <w:rPr>
                      <w:rFonts w:hint="eastAsia"/>
                      <w:sz w:val="18"/>
                      <w:szCs w:val="21"/>
                    </w:rPr>
                    <w:t>TN</w:t>
                  </w:r>
                  <w:r>
                    <w:rPr>
                      <w:rFonts w:hint="eastAsia"/>
                      <w:sz w:val="18"/>
                      <w:szCs w:val="21"/>
                      <w:lang w:val="zh-CN"/>
                    </w:rPr>
                    <w:t>、</w:t>
                  </w:r>
                  <w:r>
                    <w:rPr>
                      <w:rFonts w:hint="eastAsia"/>
                      <w:sz w:val="18"/>
                      <w:szCs w:val="21"/>
                    </w:rPr>
                    <w:t>SS</w:t>
                  </w:r>
                  <w:r>
                    <w:rPr>
                      <w:rFonts w:hint="eastAsia"/>
                      <w:sz w:val="18"/>
                      <w:szCs w:val="21"/>
                      <w:lang w:val="zh-CN"/>
                    </w:rPr>
                    <w:t>、流量</w:t>
                  </w:r>
                </w:p>
              </w:tc>
              <w:tc>
                <w:tcPr>
                  <w:tcW w:w="992" w:type="dxa"/>
                  <w:vAlign w:val="center"/>
                </w:tcPr>
                <w:p w14:paraId="6A4F82D1">
                  <w:pPr>
                    <w:adjustRightInd w:val="0"/>
                    <w:snapToGrid w:val="0"/>
                    <w:jc w:val="center"/>
                    <w:rPr>
                      <w:sz w:val="18"/>
                      <w:szCs w:val="21"/>
                      <w:lang w:val="zh-CN"/>
                    </w:rPr>
                  </w:pPr>
                  <w:r>
                    <w:rPr>
                      <w:rFonts w:hint="eastAsia"/>
                      <w:sz w:val="18"/>
                      <w:szCs w:val="21"/>
                      <w:lang w:val="zh-CN"/>
                    </w:rPr>
                    <w:t>废水总排口</w:t>
                  </w:r>
                </w:p>
              </w:tc>
              <w:tc>
                <w:tcPr>
                  <w:tcW w:w="1003" w:type="dxa"/>
                  <w:vAlign w:val="center"/>
                </w:tcPr>
                <w:p w14:paraId="075A7CEC">
                  <w:pPr>
                    <w:adjustRightInd w:val="0"/>
                    <w:snapToGrid w:val="0"/>
                    <w:jc w:val="center"/>
                    <w:rPr>
                      <w:sz w:val="18"/>
                      <w:szCs w:val="21"/>
                      <w:lang w:val="zh-CN"/>
                    </w:rPr>
                  </w:pPr>
                  <w:r>
                    <w:rPr>
                      <w:rFonts w:hint="eastAsia"/>
                      <w:sz w:val="18"/>
                      <w:szCs w:val="21"/>
                      <w:lang w:val="zh-CN"/>
                    </w:rPr>
                    <w:t>1次/年</w:t>
                  </w:r>
                </w:p>
              </w:tc>
              <w:tc>
                <w:tcPr>
                  <w:tcW w:w="3250" w:type="dxa"/>
                  <w:vAlign w:val="center"/>
                </w:tcPr>
                <w:p w14:paraId="357719EA">
                  <w:pPr>
                    <w:pStyle w:val="86"/>
                    <w:rPr>
                      <w:bCs w:val="0"/>
                      <w:kern w:val="2"/>
                      <w:sz w:val="18"/>
                      <w:szCs w:val="21"/>
                      <w:lang w:val="zh-CN"/>
                    </w:rPr>
                  </w:pPr>
                  <w:r>
                    <w:rPr>
                      <w:rFonts w:hint="eastAsia"/>
                      <w:bCs w:val="0"/>
                      <w:kern w:val="2"/>
                      <w:sz w:val="18"/>
                      <w:szCs w:val="21"/>
                      <w:lang w:val="zh-CN"/>
                    </w:rPr>
                    <w:t>获嘉县香山家园污水处理厂收水标准、</w:t>
                  </w:r>
                  <w:r>
                    <w:rPr>
                      <w:bCs w:val="0"/>
                      <w:kern w:val="2"/>
                      <w:sz w:val="18"/>
                      <w:szCs w:val="21"/>
                      <w:lang w:val="zh-CN"/>
                    </w:rPr>
                    <w:t>《污水综合排放标准》（GB8978-1996）</w:t>
                  </w:r>
                </w:p>
              </w:tc>
            </w:tr>
            <w:tr w14:paraId="640D06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gridSpan w:val="2"/>
                  <w:vAlign w:val="center"/>
                </w:tcPr>
                <w:p w14:paraId="7ECA7AA9">
                  <w:pPr>
                    <w:adjustRightInd w:val="0"/>
                    <w:snapToGrid w:val="0"/>
                    <w:jc w:val="center"/>
                    <w:rPr>
                      <w:sz w:val="18"/>
                      <w:szCs w:val="21"/>
                    </w:rPr>
                  </w:pPr>
                  <w:r>
                    <w:rPr>
                      <w:sz w:val="18"/>
                      <w:szCs w:val="21"/>
                    </w:rPr>
                    <w:t>噪声</w:t>
                  </w:r>
                </w:p>
              </w:tc>
              <w:tc>
                <w:tcPr>
                  <w:tcW w:w="1701" w:type="dxa"/>
                  <w:gridSpan w:val="2"/>
                  <w:vAlign w:val="center"/>
                </w:tcPr>
                <w:p w14:paraId="38D09A49">
                  <w:pPr>
                    <w:adjustRightInd w:val="0"/>
                    <w:snapToGrid w:val="0"/>
                    <w:jc w:val="center"/>
                    <w:rPr>
                      <w:sz w:val="18"/>
                      <w:szCs w:val="21"/>
                      <w:lang w:val="zh-CN"/>
                    </w:rPr>
                  </w:pPr>
                  <w:r>
                    <w:rPr>
                      <w:sz w:val="18"/>
                      <w:szCs w:val="21"/>
                      <w:lang w:val="zh-CN"/>
                    </w:rPr>
                    <w:t>等效连续A声级</w:t>
                  </w:r>
                </w:p>
              </w:tc>
              <w:tc>
                <w:tcPr>
                  <w:tcW w:w="992" w:type="dxa"/>
                  <w:vAlign w:val="center"/>
                </w:tcPr>
                <w:p w14:paraId="35BBA3C8">
                  <w:pPr>
                    <w:adjustRightInd w:val="0"/>
                    <w:snapToGrid w:val="0"/>
                    <w:jc w:val="center"/>
                    <w:rPr>
                      <w:sz w:val="18"/>
                      <w:szCs w:val="21"/>
                      <w:lang w:val="zh-CN"/>
                    </w:rPr>
                  </w:pPr>
                  <w:r>
                    <w:rPr>
                      <w:sz w:val="18"/>
                      <w:szCs w:val="21"/>
                      <w:lang w:val="zh-CN"/>
                    </w:rPr>
                    <w:t>四周厂界外1m处</w:t>
                  </w:r>
                </w:p>
              </w:tc>
              <w:tc>
                <w:tcPr>
                  <w:tcW w:w="1003" w:type="dxa"/>
                  <w:vAlign w:val="center"/>
                </w:tcPr>
                <w:p w14:paraId="7A871182">
                  <w:pPr>
                    <w:adjustRightInd w:val="0"/>
                    <w:snapToGrid w:val="0"/>
                    <w:jc w:val="center"/>
                    <w:rPr>
                      <w:sz w:val="18"/>
                      <w:szCs w:val="21"/>
                      <w:lang w:val="zh-CN"/>
                    </w:rPr>
                  </w:pPr>
                  <w:r>
                    <w:rPr>
                      <w:sz w:val="18"/>
                      <w:szCs w:val="21"/>
                      <w:lang w:val="zh-CN"/>
                    </w:rPr>
                    <w:t>1次</w:t>
                  </w:r>
                  <w:r>
                    <w:rPr>
                      <w:rFonts w:hint="eastAsia"/>
                      <w:sz w:val="18"/>
                      <w:szCs w:val="21"/>
                      <w:lang w:val="zh-CN"/>
                    </w:rPr>
                    <w:t>/季度</w:t>
                  </w:r>
                </w:p>
              </w:tc>
              <w:tc>
                <w:tcPr>
                  <w:tcW w:w="3250" w:type="dxa"/>
                  <w:vAlign w:val="center"/>
                </w:tcPr>
                <w:p w14:paraId="2AB7B0F9">
                  <w:pPr>
                    <w:pStyle w:val="86"/>
                    <w:rPr>
                      <w:bCs w:val="0"/>
                      <w:kern w:val="2"/>
                      <w:sz w:val="18"/>
                      <w:szCs w:val="21"/>
                      <w:lang w:val="zh-CN"/>
                    </w:rPr>
                  </w:pPr>
                  <w:r>
                    <w:rPr>
                      <w:bCs w:val="0"/>
                      <w:kern w:val="2"/>
                      <w:sz w:val="18"/>
                      <w:szCs w:val="21"/>
                      <w:lang w:val="zh-CN"/>
                    </w:rPr>
                    <w:t>《工业企业厂界环境噪声排放标准》（GB12348-2008）3类</w:t>
                  </w:r>
                </w:p>
              </w:tc>
            </w:tr>
          </w:tbl>
          <w:p w14:paraId="62113A50">
            <w:pPr>
              <w:pStyle w:val="28"/>
              <w:ind w:firstLine="480"/>
              <w:jc w:val="center"/>
            </w:pPr>
          </w:p>
        </w:tc>
      </w:tr>
    </w:tbl>
    <w:p w14:paraId="250EC104">
      <w:pPr>
        <w:pStyle w:val="15"/>
        <w:ind w:firstLine="480"/>
        <w:jc w:val="center"/>
        <w:outlineLvl w:val="0"/>
        <w:rPr>
          <w:rFonts w:ascii="Times New Roman" w:hAnsi="Times New Roman"/>
          <w:snapToGrid w:val="0"/>
          <w:color w:val="000000" w:themeColor="text1"/>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p>
    <w:p w14:paraId="3E5F8D58">
      <w:pPr>
        <w:pStyle w:val="15"/>
        <w:ind w:firstLine="480"/>
        <w:jc w:val="center"/>
        <w:outlineLvl w:val="0"/>
        <w:rPr>
          <w:rFonts w:hint="eastAsia" w:ascii="Times New Roman" w:hAnsi="Times New Roman" w:eastAsia="宋体"/>
          <w:snapToGrid w:val="0"/>
          <w:color w:val="000000" w:themeColor="text1"/>
          <w:lang w:eastAsia="zh-CN"/>
          <w14:textFill>
            <w14:solidFill>
              <w14:schemeClr w14:val="tx1"/>
            </w14:solidFill>
          </w14:textFill>
        </w:rPr>
      </w:pPr>
      <w:r>
        <w:rPr>
          <w:rFonts w:hint="eastAsia" w:ascii="Times New Roman" w:hAnsi="Times New Roman" w:eastAsia="宋体"/>
          <w:snapToGrid w:val="0"/>
          <w:color w:val="000000" w:themeColor="text1"/>
          <w:lang w:eastAsia="zh-CN"/>
          <w14:textFill>
            <w14:solidFill>
              <w14:schemeClr w14:val="tx1"/>
            </w14:solidFill>
          </w14:textFill>
        </w:rPr>
        <w:drawing>
          <wp:inline distT="0" distB="0" distL="114300" distR="114300">
            <wp:extent cx="5613400" cy="7944485"/>
            <wp:effectExtent l="0" t="0" r="10160" b="10795"/>
            <wp:docPr id="54" name="图片 54" descr="正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正文_00"/>
                    <pic:cNvPicPr>
                      <a:picLocks noChangeAspect="1"/>
                    </pic:cNvPicPr>
                  </pic:nvPicPr>
                  <pic:blipFill>
                    <a:blip r:embed="rId35"/>
                    <a:stretch>
                      <a:fillRect/>
                    </a:stretch>
                  </pic:blipFill>
                  <pic:spPr>
                    <a:xfrm>
                      <a:off x="0" y="0"/>
                      <a:ext cx="5613400" cy="7944485"/>
                    </a:xfrm>
                    <a:prstGeom prst="rect">
                      <a:avLst/>
                    </a:prstGeom>
                  </pic:spPr>
                </pic:pic>
              </a:graphicData>
            </a:graphic>
          </wp:inline>
        </w:drawing>
      </w:r>
    </w:p>
    <w:p w14:paraId="4C2F19C8">
      <w:pPr>
        <w:ind w:firstLine="480"/>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14:paraId="4443D590">
      <w:pPr>
        <w:pStyle w:val="15"/>
        <w:adjustRightInd w:val="0"/>
        <w:snapToGrid w:val="0"/>
        <w:spacing w:before="0" w:beforeAutospacing="0" w:after="0" w:afterAutospacing="0"/>
        <w:ind w:firstLine="641"/>
        <w:rPr>
          <w:rFonts w:ascii="Times New Roman" w:hAnsi="Times New Roman" w:eastAsia="黑体"/>
          <w:snapToGrid w:val="0"/>
          <w:color w:val="000000" w:themeColor="text1"/>
          <w:sz w:val="32"/>
          <w:szCs w:val="32"/>
          <w14:textFill>
            <w14:solidFill>
              <w14:schemeClr w14:val="tx1"/>
            </w14:solidFill>
          </w14:textFill>
        </w:rPr>
      </w:pPr>
      <w:r>
        <w:rPr>
          <w:rFonts w:ascii="Times New Roman" w:hAnsi="Times New Roman" w:eastAsia="黑体"/>
          <w:snapToGrid w:val="0"/>
          <w:color w:val="000000" w:themeColor="text1"/>
          <w:sz w:val="32"/>
          <w:szCs w:val="32"/>
          <w14:textFill>
            <w14:solidFill>
              <w14:schemeClr w14:val="tx1"/>
            </w14:solidFill>
          </w14:textFill>
        </w:rPr>
        <w:t>附表</w:t>
      </w:r>
    </w:p>
    <w:p w14:paraId="7964BF6A">
      <w:pPr>
        <w:pStyle w:val="15"/>
        <w:adjustRightInd w:val="0"/>
        <w:snapToGrid w:val="0"/>
        <w:spacing w:before="0" w:beforeAutospacing="0" w:after="0" w:afterAutospacing="0"/>
        <w:ind w:firstLine="4370" w:firstLineChars="1150"/>
        <w:outlineLvl w:val="0"/>
        <w:rPr>
          <w:rFonts w:ascii="Times New Roman" w:hAnsi="Times New Roman" w:eastAsia="方正小标宋_GBK"/>
          <w:snapToGrid w:val="0"/>
          <w:color w:val="000000" w:themeColor="text1"/>
          <w:sz w:val="38"/>
          <w:szCs w:val="38"/>
          <w14:textFill>
            <w14:solidFill>
              <w14:schemeClr w14:val="tx1"/>
            </w14:solidFill>
          </w14:textFill>
        </w:rPr>
      </w:pPr>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304"/>
        <w:gridCol w:w="1426"/>
        <w:gridCol w:w="1283"/>
        <w:gridCol w:w="1425"/>
        <w:gridCol w:w="1568"/>
        <w:gridCol w:w="1569"/>
        <w:gridCol w:w="1851"/>
        <w:gridCol w:w="1528"/>
      </w:tblGrid>
      <w:tr w14:paraId="75101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tcBorders>
              <w:tl2br w:val="single" w:color="auto" w:sz="4" w:space="0"/>
            </w:tcBorders>
            <w:tcMar>
              <w:left w:w="28" w:type="dxa"/>
              <w:right w:w="28" w:type="dxa"/>
            </w:tcMar>
            <w:vAlign w:val="center"/>
          </w:tcPr>
          <w:p w14:paraId="29103800">
            <w:pPr>
              <w:pStyle w:val="44"/>
              <w:spacing w:line="240" w:lineRule="auto"/>
              <w:ind w:right="114" w:firstLine="396"/>
              <w:jc w:val="right"/>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项目</w:t>
            </w:r>
          </w:p>
          <w:p w14:paraId="6E412074">
            <w:pPr>
              <w:pStyle w:val="44"/>
              <w:spacing w:line="240" w:lineRule="auto"/>
              <w:ind w:firstLine="0" w:firstLineChars="0"/>
              <w:jc w:val="left"/>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分类</w:t>
            </w:r>
          </w:p>
        </w:tc>
        <w:tc>
          <w:tcPr>
            <w:tcW w:w="1297" w:type="dxa"/>
            <w:tcMar>
              <w:left w:w="28" w:type="dxa"/>
              <w:right w:w="28" w:type="dxa"/>
            </w:tcMar>
            <w:vAlign w:val="center"/>
          </w:tcPr>
          <w:p w14:paraId="5386F4C8">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污染物名称</w:t>
            </w:r>
          </w:p>
        </w:tc>
        <w:tc>
          <w:tcPr>
            <w:tcW w:w="1418" w:type="dxa"/>
            <w:tcMar>
              <w:left w:w="28" w:type="dxa"/>
              <w:right w:w="28" w:type="dxa"/>
            </w:tcMar>
            <w:vAlign w:val="center"/>
          </w:tcPr>
          <w:p w14:paraId="7B697332">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现有工程</w:t>
            </w:r>
          </w:p>
          <w:p w14:paraId="17753D80">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排放量（固体废物产生量）</w:t>
            </w: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1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color w:val="000000" w:themeColor="text1"/>
                <w:kern w:val="2"/>
                <w:sz w:val="21"/>
                <w:szCs w:val="21"/>
                <w14:textFill>
                  <w14:solidFill>
                    <w14:schemeClr w14:val="tx1"/>
                  </w14:solidFill>
                </w14:textFill>
              </w:rPr>
              <w:t>①</w:t>
            </w:r>
            <w:r>
              <w:rPr>
                <w:rFonts w:eastAsia="黑体"/>
                <w:snapToGrid w:val="0"/>
                <w:color w:val="000000" w:themeColor="text1"/>
                <w:spacing w:val="-6"/>
                <w:kern w:val="21"/>
                <w:sz w:val="21"/>
                <w:szCs w:val="21"/>
                <w14:textFill>
                  <w14:solidFill>
                    <w14:schemeClr w14:val="tx1"/>
                  </w14:solidFill>
                </w14:textFill>
              </w:rPr>
              <w:fldChar w:fldCharType="end"/>
            </w:r>
          </w:p>
        </w:tc>
        <w:tc>
          <w:tcPr>
            <w:tcW w:w="1276" w:type="dxa"/>
            <w:tcMar>
              <w:left w:w="28" w:type="dxa"/>
              <w:right w:w="28" w:type="dxa"/>
            </w:tcMar>
            <w:vAlign w:val="center"/>
          </w:tcPr>
          <w:p w14:paraId="07C5268E">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现有工程</w:t>
            </w:r>
          </w:p>
          <w:p w14:paraId="3164BAE7">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许可排放量</w:t>
            </w: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2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snapToGrid w:val="0"/>
                <w:color w:val="000000" w:themeColor="text1"/>
                <w:spacing w:val="-6"/>
                <w:kern w:val="21"/>
                <w:sz w:val="21"/>
                <w:szCs w:val="21"/>
                <w14:textFill>
                  <w14:solidFill>
                    <w14:schemeClr w14:val="tx1"/>
                  </w14:solidFill>
                </w14:textFill>
              </w:rPr>
              <w:t>②</w:t>
            </w:r>
            <w:r>
              <w:rPr>
                <w:rFonts w:eastAsia="黑体"/>
                <w:snapToGrid w:val="0"/>
                <w:color w:val="000000" w:themeColor="text1"/>
                <w:spacing w:val="-6"/>
                <w:kern w:val="21"/>
                <w:sz w:val="21"/>
                <w:szCs w:val="21"/>
                <w14:textFill>
                  <w14:solidFill>
                    <w14:schemeClr w14:val="tx1"/>
                  </w14:solidFill>
                </w14:textFill>
              </w:rPr>
              <w:fldChar w:fldCharType="end"/>
            </w:r>
          </w:p>
        </w:tc>
        <w:tc>
          <w:tcPr>
            <w:tcW w:w="1417" w:type="dxa"/>
            <w:tcMar>
              <w:left w:w="28" w:type="dxa"/>
              <w:right w:w="28" w:type="dxa"/>
            </w:tcMar>
            <w:vAlign w:val="center"/>
          </w:tcPr>
          <w:p w14:paraId="0062F4EE">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在建工程</w:t>
            </w:r>
          </w:p>
          <w:p w14:paraId="6F5B0D19">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排放量（固体废物产生量）</w:t>
            </w: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3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color w:val="000000" w:themeColor="text1"/>
                <w:kern w:val="2"/>
                <w:sz w:val="21"/>
                <w:szCs w:val="21"/>
                <w14:textFill>
                  <w14:solidFill>
                    <w14:schemeClr w14:val="tx1"/>
                  </w14:solidFill>
                </w14:textFill>
              </w:rPr>
              <w:t>③</w:t>
            </w:r>
            <w:r>
              <w:rPr>
                <w:rFonts w:eastAsia="黑体"/>
                <w:snapToGrid w:val="0"/>
                <w:color w:val="000000" w:themeColor="text1"/>
                <w:spacing w:val="-6"/>
                <w:kern w:val="21"/>
                <w:sz w:val="21"/>
                <w:szCs w:val="21"/>
                <w14:textFill>
                  <w14:solidFill>
                    <w14:schemeClr w14:val="tx1"/>
                  </w14:solidFill>
                </w14:textFill>
              </w:rPr>
              <w:fldChar w:fldCharType="end"/>
            </w:r>
          </w:p>
        </w:tc>
        <w:tc>
          <w:tcPr>
            <w:tcW w:w="1559" w:type="dxa"/>
            <w:tcMar>
              <w:left w:w="28" w:type="dxa"/>
              <w:right w:w="28" w:type="dxa"/>
            </w:tcMar>
            <w:vAlign w:val="center"/>
          </w:tcPr>
          <w:p w14:paraId="13127298">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本项目</w:t>
            </w:r>
          </w:p>
          <w:p w14:paraId="45C2F27B">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排放量（固体废物产生量）</w:t>
            </w: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4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color w:val="000000" w:themeColor="text1"/>
                <w:kern w:val="2"/>
                <w:sz w:val="21"/>
                <w:szCs w:val="21"/>
                <w14:textFill>
                  <w14:solidFill>
                    <w14:schemeClr w14:val="tx1"/>
                  </w14:solidFill>
                </w14:textFill>
              </w:rPr>
              <w:t>④</w:t>
            </w:r>
            <w:r>
              <w:rPr>
                <w:rFonts w:eastAsia="黑体"/>
                <w:snapToGrid w:val="0"/>
                <w:color w:val="000000" w:themeColor="text1"/>
                <w:spacing w:val="-6"/>
                <w:kern w:val="21"/>
                <w:sz w:val="21"/>
                <w:szCs w:val="21"/>
                <w14:textFill>
                  <w14:solidFill>
                    <w14:schemeClr w14:val="tx1"/>
                  </w14:solidFill>
                </w14:textFill>
              </w:rPr>
              <w:fldChar w:fldCharType="end"/>
            </w:r>
          </w:p>
        </w:tc>
        <w:tc>
          <w:tcPr>
            <w:tcW w:w="1560" w:type="dxa"/>
            <w:tcMar>
              <w:left w:w="28" w:type="dxa"/>
              <w:right w:w="28" w:type="dxa"/>
            </w:tcMar>
            <w:vAlign w:val="center"/>
          </w:tcPr>
          <w:p w14:paraId="62DD3A8A">
            <w:pPr>
              <w:pStyle w:val="44"/>
              <w:spacing w:line="240" w:lineRule="auto"/>
              <w:ind w:firstLine="0" w:firstLineChars="0"/>
              <w:jc w:val="center"/>
              <w:rPr>
                <w:rFonts w:eastAsia="黑体"/>
                <w:snapToGrid w:val="0"/>
                <w:color w:val="000000" w:themeColor="text1"/>
                <w:spacing w:val="-16"/>
                <w:kern w:val="21"/>
                <w:sz w:val="21"/>
                <w:szCs w:val="21"/>
                <w14:textFill>
                  <w14:solidFill>
                    <w14:schemeClr w14:val="tx1"/>
                  </w14:solidFill>
                </w14:textFill>
              </w:rPr>
            </w:pPr>
            <w:r>
              <w:rPr>
                <w:rFonts w:eastAsia="黑体"/>
                <w:snapToGrid w:val="0"/>
                <w:color w:val="000000" w:themeColor="text1"/>
                <w:spacing w:val="-16"/>
                <w:kern w:val="21"/>
                <w:sz w:val="21"/>
                <w:szCs w:val="21"/>
                <w14:textFill>
                  <w14:solidFill>
                    <w14:schemeClr w14:val="tx1"/>
                  </w14:solidFill>
                </w14:textFill>
              </w:rPr>
              <w:t>以新带老削减量（新建项目不填）</w:t>
            </w:r>
            <w:r>
              <w:rPr>
                <w:rFonts w:eastAsia="黑体"/>
                <w:snapToGrid w:val="0"/>
                <w:color w:val="000000" w:themeColor="text1"/>
                <w:spacing w:val="-16"/>
                <w:kern w:val="21"/>
                <w:sz w:val="21"/>
                <w:szCs w:val="21"/>
                <w14:textFill>
                  <w14:solidFill>
                    <w14:schemeClr w14:val="tx1"/>
                  </w14:solidFill>
                </w14:textFill>
              </w:rPr>
              <w:fldChar w:fldCharType="begin"/>
            </w:r>
            <w:r>
              <w:rPr>
                <w:rFonts w:eastAsia="黑体"/>
                <w:snapToGrid w:val="0"/>
                <w:color w:val="000000" w:themeColor="text1"/>
                <w:spacing w:val="-16"/>
                <w:kern w:val="21"/>
                <w:sz w:val="21"/>
                <w:szCs w:val="21"/>
                <w14:textFill>
                  <w14:solidFill>
                    <w14:schemeClr w14:val="tx1"/>
                  </w14:solidFill>
                </w14:textFill>
              </w:rPr>
              <w:instrText xml:space="preserve"> = 5 \* GB3 \* MERGEFORMAT </w:instrText>
            </w:r>
            <w:r>
              <w:rPr>
                <w:rFonts w:eastAsia="黑体"/>
                <w:snapToGrid w:val="0"/>
                <w:color w:val="000000" w:themeColor="text1"/>
                <w:spacing w:val="-16"/>
                <w:kern w:val="21"/>
                <w:sz w:val="21"/>
                <w:szCs w:val="21"/>
                <w14:textFill>
                  <w14:solidFill>
                    <w14:schemeClr w14:val="tx1"/>
                  </w14:solidFill>
                </w14:textFill>
              </w:rPr>
              <w:fldChar w:fldCharType="separate"/>
            </w:r>
            <w:r>
              <w:rPr>
                <w:rFonts w:hint="eastAsia" w:ascii="宋体" w:hAnsi="宋体" w:cs="宋体"/>
                <w:color w:val="000000" w:themeColor="text1"/>
                <w:kern w:val="2"/>
                <w:sz w:val="21"/>
                <w:szCs w:val="21"/>
                <w14:textFill>
                  <w14:solidFill>
                    <w14:schemeClr w14:val="tx1"/>
                  </w14:solidFill>
                </w14:textFill>
              </w:rPr>
              <w:t>⑤</w:t>
            </w:r>
            <w:r>
              <w:rPr>
                <w:rFonts w:eastAsia="黑体"/>
                <w:snapToGrid w:val="0"/>
                <w:color w:val="000000" w:themeColor="text1"/>
                <w:spacing w:val="-16"/>
                <w:kern w:val="21"/>
                <w:sz w:val="21"/>
                <w:szCs w:val="21"/>
                <w14:textFill>
                  <w14:solidFill>
                    <w14:schemeClr w14:val="tx1"/>
                  </w14:solidFill>
                </w14:textFill>
              </w:rPr>
              <w:fldChar w:fldCharType="end"/>
            </w:r>
          </w:p>
        </w:tc>
        <w:tc>
          <w:tcPr>
            <w:tcW w:w="1841" w:type="dxa"/>
            <w:tcMar>
              <w:left w:w="28" w:type="dxa"/>
              <w:right w:w="28" w:type="dxa"/>
            </w:tcMar>
            <w:vAlign w:val="center"/>
          </w:tcPr>
          <w:p w14:paraId="5C1BA283">
            <w:pPr>
              <w:pStyle w:val="44"/>
              <w:spacing w:line="240" w:lineRule="auto"/>
              <w:ind w:firstLine="0" w:firstLineChars="0"/>
              <w:jc w:val="center"/>
              <w:rPr>
                <w:rFonts w:eastAsia="黑体"/>
                <w:snapToGrid w:val="0"/>
                <w:color w:val="000000" w:themeColor="text1"/>
                <w:spacing w:val="-16"/>
                <w:kern w:val="21"/>
                <w:sz w:val="21"/>
                <w:szCs w:val="21"/>
                <w14:textFill>
                  <w14:solidFill>
                    <w14:schemeClr w14:val="tx1"/>
                  </w14:solidFill>
                </w14:textFill>
              </w:rPr>
            </w:pPr>
            <w:r>
              <w:rPr>
                <w:rFonts w:eastAsia="黑体"/>
                <w:snapToGrid w:val="0"/>
                <w:color w:val="000000" w:themeColor="text1"/>
                <w:spacing w:val="-16"/>
                <w:kern w:val="21"/>
                <w:sz w:val="21"/>
                <w:szCs w:val="21"/>
                <w14:textFill>
                  <w14:solidFill>
                    <w14:schemeClr w14:val="tx1"/>
                  </w14:solidFill>
                </w14:textFill>
              </w:rPr>
              <w:t>本项目建成后</w:t>
            </w:r>
          </w:p>
          <w:p w14:paraId="2B366863">
            <w:pPr>
              <w:pStyle w:val="44"/>
              <w:spacing w:line="240" w:lineRule="auto"/>
              <w:ind w:firstLine="0" w:firstLineChars="0"/>
              <w:jc w:val="center"/>
              <w:rPr>
                <w:rFonts w:eastAsia="黑体"/>
                <w:snapToGrid w:val="0"/>
                <w:color w:val="000000" w:themeColor="text1"/>
                <w:spacing w:val="-16"/>
                <w:kern w:val="21"/>
                <w:sz w:val="21"/>
                <w:szCs w:val="21"/>
                <w14:textFill>
                  <w14:solidFill>
                    <w14:schemeClr w14:val="tx1"/>
                  </w14:solidFill>
                </w14:textFill>
              </w:rPr>
            </w:pPr>
            <w:r>
              <w:rPr>
                <w:rFonts w:eastAsia="黑体"/>
                <w:snapToGrid w:val="0"/>
                <w:color w:val="000000" w:themeColor="text1"/>
                <w:spacing w:val="-16"/>
                <w:kern w:val="21"/>
                <w:sz w:val="21"/>
                <w:szCs w:val="21"/>
                <w14:textFill>
                  <w14:solidFill>
                    <w14:schemeClr w14:val="tx1"/>
                  </w14:solidFill>
                </w14:textFill>
              </w:rPr>
              <w:t>全厂排放量（固体废物产生量）</w:t>
            </w:r>
            <w:r>
              <w:rPr>
                <w:rFonts w:eastAsia="黑体"/>
                <w:snapToGrid w:val="0"/>
                <w:color w:val="000000" w:themeColor="text1"/>
                <w:spacing w:val="-16"/>
                <w:kern w:val="21"/>
                <w:sz w:val="21"/>
                <w:szCs w:val="21"/>
                <w14:textFill>
                  <w14:solidFill>
                    <w14:schemeClr w14:val="tx1"/>
                  </w14:solidFill>
                </w14:textFill>
              </w:rPr>
              <w:fldChar w:fldCharType="begin"/>
            </w:r>
            <w:r>
              <w:rPr>
                <w:rFonts w:eastAsia="黑体"/>
                <w:snapToGrid w:val="0"/>
                <w:color w:val="000000" w:themeColor="text1"/>
                <w:spacing w:val="-16"/>
                <w:kern w:val="21"/>
                <w:sz w:val="21"/>
                <w:szCs w:val="21"/>
                <w14:textFill>
                  <w14:solidFill>
                    <w14:schemeClr w14:val="tx1"/>
                  </w14:solidFill>
                </w14:textFill>
              </w:rPr>
              <w:instrText xml:space="preserve"> = 6 \* GB3 \* MERGEFORMAT </w:instrText>
            </w:r>
            <w:r>
              <w:rPr>
                <w:rFonts w:eastAsia="黑体"/>
                <w:snapToGrid w:val="0"/>
                <w:color w:val="000000" w:themeColor="text1"/>
                <w:spacing w:val="-16"/>
                <w:kern w:val="21"/>
                <w:sz w:val="21"/>
                <w:szCs w:val="21"/>
                <w14:textFill>
                  <w14:solidFill>
                    <w14:schemeClr w14:val="tx1"/>
                  </w14:solidFill>
                </w14:textFill>
              </w:rPr>
              <w:fldChar w:fldCharType="separate"/>
            </w:r>
            <w:r>
              <w:rPr>
                <w:rFonts w:hint="eastAsia" w:ascii="宋体" w:hAnsi="宋体" w:cs="宋体"/>
                <w:color w:val="000000" w:themeColor="text1"/>
                <w:kern w:val="2"/>
                <w:sz w:val="21"/>
                <w:szCs w:val="21"/>
                <w14:textFill>
                  <w14:solidFill>
                    <w14:schemeClr w14:val="tx1"/>
                  </w14:solidFill>
                </w14:textFill>
              </w:rPr>
              <w:t>⑥</w:t>
            </w:r>
            <w:r>
              <w:rPr>
                <w:rFonts w:eastAsia="黑体"/>
                <w:snapToGrid w:val="0"/>
                <w:color w:val="000000" w:themeColor="text1"/>
                <w:spacing w:val="-16"/>
                <w:kern w:val="21"/>
                <w:sz w:val="21"/>
                <w:szCs w:val="21"/>
                <w14:textFill>
                  <w14:solidFill>
                    <w14:schemeClr w14:val="tx1"/>
                  </w14:solidFill>
                </w14:textFill>
              </w:rPr>
              <w:fldChar w:fldCharType="end"/>
            </w:r>
          </w:p>
        </w:tc>
        <w:tc>
          <w:tcPr>
            <w:tcW w:w="1519" w:type="dxa"/>
            <w:tcMar>
              <w:left w:w="28" w:type="dxa"/>
              <w:right w:w="28" w:type="dxa"/>
            </w:tcMar>
            <w:vAlign w:val="center"/>
          </w:tcPr>
          <w:p w14:paraId="614F6DE9">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t>变化量</w:t>
            </w:r>
          </w:p>
          <w:p w14:paraId="3F387C94">
            <w:pPr>
              <w:pStyle w:val="44"/>
              <w:spacing w:line="240" w:lineRule="auto"/>
              <w:ind w:firstLine="0" w:firstLineChars="0"/>
              <w:jc w:val="center"/>
              <w:rPr>
                <w:rFonts w:eastAsia="黑体"/>
                <w:snapToGrid w:val="0"/>
                <w:color w:val="000000" w:themeColor="text1"/>
                <w:spacing w:val="-6"/>
                <w:kern w:val="21"/>
                <w:sz w:val="21"/>
                <w:szCs w:val="21"/>
                <w14:textFill>
                  <w14:solidFill>
                    <w14:schemeClr w14:val="tx1"/>
                  </w14:solidFill>
                </w14:textFill>
              </w:rPr>
            </w:pPr>
            <w:r>
              <w:rPr>
                <w:rFonts w:eastAsia="黑体"/>
                <w:snapToGrid w:val="0"/>
                <w:color w:val="000000" w:themeColor="text1"/>
                <w:spacing w:val="-6"/>
                <w:kern w:val="21"/>
                <w:sz w:val="21"/>
                <w:szCs w:val="21"/>
                <w14:textFill>
                  <w14:solidFill>
                    <w14:schemeClr w14:val="tx1"/>
                  </w14:solidFill>
                </w14:textFill>
              </w:rPr>
              <w:fldChar w:fldCharType="begin"/>
            </w:r>
            <w:r>
              <w:rPr>
                <w:rFonts w:eastAsia="黑体"/>
                <w:snapToGrid w:val="0"/>
                <w:color w:val="000000" w:themeColor="text1"/>
                <w:spacing w:val="-6"/>
                <w:kern w:val="21"/>
                <w:sz w:val="21"/>
                <w:szCs w:val="21"/>
                <w14:textFill>
                  <w14:solidFill>
                    <w14:schemeClr w14:val="tx1"/>
                  </w14:solidFill>
                </w14:textFill>
              </w:rPr>
              <w:instrText xml:space="preserve"> = 7 \* GB3 \* MERGEFORMAT </w:instrText>
            </w:r>
            <w:r>
              <w:rPr>
                <w:rFonts w:eastAsia="黑体"/>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color w:val="000000" w:themeColor="text1"/>
                <w:kern w:val="2"/>
                <w:sz w:val="21"/>
                <w:szCs w:val="21"/>
                <w14:textFill>
                  <w14:solidFill>
                    <w14:schemeClr w14:val="tx1"/>
                  </w14:solidFill>
                </w14:textFill>
              </w:rPr>
              <w:t>⑦</w:t>
            </w:r>
            <w:r>
              <w:rPr>
                <w:rFonts w:eastAsia="黑体"/>
                <w:snapToGrid w:val="0"/>
                <w:color w:val="000000" w:themeColor="text1"/>
                <w:spacing w:val="-6"/>
                <w:kern w:val="21"/>
                <w:sz w:val="21"/>
                <w:szCs w:val="21"/>
                <w14:textFill>
                  <w14:solidFill>
                    <w14:schemeClr w14:val="tx1"/>
                  </w14:solidFill>
                </w14:textFill>
              </w:rPr>
              <w:fldChar w:fldCharType="end"/>
            </w:r>
          </w:p>
        </w:tc>
      </w:tr>
      <w:tr w14:paraId="3F1F5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Align w:val="center"/>
          </w:tcPr>
          <w:p w14:paraId="05C427D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297" w:type="dxa"/>
            <w:vAlign w:val="center"/>
          </w:tcPr>
          <w:p w14:paraId="5139F32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418" w:type="dxa"/>
            <w:vAlign w:val="center"/>
          </w:tcPr>
          <w:p w14:paraId="3732A711">
            <w:pPr>
              <w:pStyle w:val="86"/>
            </w:pPr>
            <w:r>
              <w:t>0.1395</w:t>
            </w:r>
            <w:r>
              <w:rPr>
                <w:rFonts w:hint="eastAsia"/>
              </w:rPr>
              <w:t>t/a</w:t>
            </w:r>
          </w:p>
        </w:tc>
        <w:tc>
          <w:tcPr>
            <w:tcW w:w="1276" w:type="dxa"/>
            <w:vAlign w:val="center"/>
          </w:tcPr>
          <w:p w14:paraId="2D4006FA">
            <w:pPr>
              <w:adjustRightInd w:val="0"/>
              <w:snapToGrid w:val="0"/>
              <w:jc w:val="center"/>
              <w:rPr>
                <w:bCs/>
                <w:kern w:val="0"/>
                <w:szCs w:val="20"/>
              </w:rPr>
            </w:pPr>
            <w:r>
              <w:rPr>
                <w:bCs/>
                <w:kern w:val="0"/>
                <w:szCs w:val="20"/>
              </w:rPr>
              <w:t>2.3631</w:t>
            </w:r>
            <w:r>
              <w:rPr>
                <w:rFonts w:hint="eastAsia"/>
                <w:bCs/>
                <w:kern w:val="0"/>
                <w:szCs w:val="20"/>
              </w:rPr>
              <w:t>t/a</w:t>
            </w:r>
          </w:p>
        </w:tc>
        <w:tc>
          <w:tcPr>
            <w:tcW w:w="1417" w:type="dxa"/>
            <w:vAlign w:val="center"/>
          </w:tcPr>
          <w:p w14:paraId="0C586975">
            <w:pPr>
              <w:adjustRightInd w:val="0"/>
              <w:snapToGrid w:val="0"/>
              <w:jc w:val="center"/>
              <w:rPr>
                <w:bCs/>
                <w:kern w:val="0"/>
                <w:szCs w:val="20"/>
              </w:rPr>
            </w:pPr>
            <w:r>
              <w:rPr>
                <w:bCs/>
                <w:kern w:val="0"/>
                <w:szCs w:val="20"/>
              </w:rPr>
              <w:t>/</w:t>
            </w:r>
          </w:p>
        </w:tc>
        <w:tc>
          <w:tcPr>
            <w:tcW w:w="1559" w:type="dxa"/>
            <w:vAlign w:val="center"/>
          </w:tcPr>
          <w:p w14:paraId="36D26FAB">
            <w:pPr>
              <w:pStyle w:val="86"/>
            </w:pPr>
            <w:r>
              <w:t>0.1352</w:t>
            </w:r>
            <w:r>
              <w:rPr>
                <w:rFonts w:hint="eastAsia"/>
              </w:rPr>
              <w:t>t/a</w:t>
            </w:r>
          </w:p>
        </w:tc>
        <w:tc>
          <w:tcPr>
            <w:tcW w:w="1560" w:type="dxa"/>
            <w:vAlign w:val="center"/>
          </w:tcPr>
          <w:p w14:paraId="4212B582">
            <w:pPr>
              <w:adjustRightInd w:val="0"/>
              <w:snapToGrid w:val="0"/>
              <w:jc w:val="center"/>
              <w:rPr>
                <w:bCs/>
                <w:kern w:val="0"/>
                <w:szCs w:val="20"/>
              </w:rPr>
            </w:pPr>
            <w:r>
              <w:rPr>
                <w:bCs/>
                <w:kern w:val="0"/>
                <w:szCs w:val="20"/>
              </w:rPr>
              <w:t>/</w:t>
            </w:r>
          </w:p>
        </w:tc>
        <w:tc>
          <w:tcPr>
            <w:tcW w:w="1841" w:type="dxa"/>
            <w:vAlign w:val="center"/>
          </w:tcPr>
          <w:p w14:paraId="62CA1384">
            <w:pPr>
              <w:pStyle w:val="86"/>
            </w:pPr>
            <w:r>
              <w:t>0.2747</w:t>
            </w:r>
            <w:r>
              <w:rPr>
                <w:rFonts w:hint="eastAsia"/>
              </w:rPr>
              <w:t>t/a</w:t>
            </w:r>
          </w:p>
        </w:tc>
        <w:tc>
          <w:tcPr>
            <w:tcW w:w="1519" w:type="dxa"/>
            <w:vAlign w:val="center"/>
          </w:tcPr>
          <w:p w14:paraId="7D5BA03E">
            <w:pPr>
              <w:adjustRightInd w:val="0"/>
              <w:snapToGrid w:val="0"/>
              <w:jc w:val="center"/>
              <w:rPr>
                <w:bCs/>
                <w:kern w:val="0"/>
                <w:szCs w:val="20"/>
              </w:rPr>
            </w:pPr>
            <w:r>
              <w:rPr>
                <w:bCs/>
                <w:kern w:val="0"/>
                <w:szCs w:val="20"/>
              </w:rPr>
              <w:t>+</w:t>
            </w:r>
            <w:r>
              <w:t>0.1352</w:t>
            </w:r>
            <w:r>
              <w:rPr>
                <w:rFonts w:hint="eastAsia"/>
                <w:szCs w:val="20"/>
              </w:rPr>
              <w:t>t/a</w:t>
            </w:r>
          </w:p>
        </w:tc>
      </w:tr>
      <w:tr w14:paraId="7F458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restart"/>
            <w:vAlign w:val="center"/>
          </w:tcPr>
          <w:p w14:paraId="70AB21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297" w:type="dxa"/>
            <w:vAlign w:val="center"/>
          </w:tcPr>
          <w:p w14:paraId="703E797D">
            <w:pPr>
              <w:adjustRightInd w:val="0"/>
              <w:snapToGrid w:val="0"/>
              <w:jc w:val="center"/>
              <w:rPr>
                <w:color w:val="000000" w:themeColor="text1"/>
                <w:szCs w:val="21"/>
                <w14:textFill>
                  <w14:solidFill>
                    <w14:schemeClr w14:val="tx1"/>
                  </w14:solidFill>
                </w14:textFill>
              </w:rPr>
            </w:pPr>
            <w:r>
              <w:rPr>
                <w:color w:val="000000"/>
              </w:rPr>
              <w:t>COD</w:t>
            </w:r>
          </w:p>
        </w:tc>
        <w:tc>
          <w:tcPr>
            <w:tcW w:w="1418" w:type="dxa"/>
            <w:vAlign w:val="center"/>
          </w:tcPr>
          <w:p w14:paraId="27C7B3C3">
            <w:pPr>
              <w:pStyle w:val="86"/>
            </w:pPr>
            <w:r>
              <w:rPr>
                <w:rFonts w:hint="eastAsia"/>
              </w:rPr>
              <w:t>0.0356t/a</w:t>
            </w:r>
          </w:p>
        </w:tc>
        <w:tc>
          <w:tcPr>
            <w:tcW w:w="1276" w:type="dxa"/>
            <w:vAlign w:val="center"/>
          </w:tcPr>
          <w:p w14:paraId="3348035A">
            <w:pPr>
              <w:pStyle w:val="86"/>
            </w:pPr>
            <w:r>
              <w:rPr>
                <w:rFonts w:hint="eastAsia"/>
              </w:rPr>
              <w:t>0.2023t/a</w:t>
            </w:r>
          </w:p>
        </w:tc>
        <w:tc>
          <w:tcPr>
            <w:tcW w:w="1417" w:type="dxa"/>
            <w:vAlign w:val="center"/>
          </w:tcPr>
          <w:p w14:paraId="6CB5606B">
            <w:pPr>
              <w:pStyle w:val="86"/>
            </w:pPr>
            <w:r>
              <w:t>/</w:t>
            </w:r>
          </w:p>
        </w:tc>
        <w:tc>
          <w:tcPr>
            <w:tcW w:w="1559" w:type="dxa"/>
            <w:vAlign w:val="center"/>
          </w:tcPr>
          <w:p w14:paraId="0540E914">
            <w:pPr>
              <w:pStyle w:val="86"/>
            </w:pPr>
            <w:r>
              <w:t>0.0122</w:t>
            </w:r>
            <w:r>
              <w:rPr>
                <w:rFonts w:hint="eastAsia"/>
              </w:rPr>
              <w:t>t/a</w:t>
            </w:r>
          </w:p>
        </w:tc>
        <w:tc>
          <w:tcPr>
            <w:tcW w:w="1560" w:type="dxa"/>
            <w:vAlign w:val="center"/>
          </w:tcPr>
          <w:p w14:paraId="263A4FA7">
            <w:pPr>
              <w:pStyle w:val="86"/>
            </w:pPr>
            <w:r>
              <w:t>/</w:t>
            </w:r>
          </w:p>
        </w:tc>
        <w:tc>
          <w:tcPr>
            <w:tcW w:w="1841" w:type="dxa"/>
            <w:vAlign w:val="center"/>
          </w:tcPr>
          <w:p w14:paraId="260E73AA">
            <w:pPr>
              <w:pStyle w:val="86"/>
            </w:pPr>
            <w:r>
              <w:rPr>
                <w:szCs w:val="21"/>
              </w:rPr>
              <w:t>0.0478</w:t>
            </w:r>
            <w:r>
              <w:rPr>
                <w:bCs w:val="0"/>
                <w:szCs w:val="21"/>
              </w:rPr>
              <w:t>t/a</w:t>
            </w:r>
          </w:p>
        </w:tc>
        <w:tc>
          <w:tcPr>
            <w:tcW w:w="1519" w:type="dxa"/>
            <w:vAlign w:val="center"/>
          </w:tcPr>
          <w:p w14:paraId="13780ADD">
            <w:pPr>
              <w:pStyle w:val="86"/>
            </w:pPr>
            <w:r>
              <w:rPr>
                <w:szCs w:val="21"/>
              </w:rPr>
              <w:t>+0.0122</w:t>
            </w:r>
            <w:r>
              <w:rPr>
                <w:bCs w:val="0"/>
                <w:szCs w:val="21"/>
              </w:rPr>
              <w:t>t/a</w:t>
            </w:r>
          </w:p>
        </w:tc>
      </w:tr>
      <w:tr w14:paraId="493CE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continue"/>
            <w:vAlign w:val="center"/>
          </w:tcPr>
          <w:p w14:paraId="68167803">
            <w:pPr>
              <w:adjustRightInd w:val="0"/>
              <w:snapToGrid w:val="0"/>
              <w:jc w:val="center"/>
              <w:rPr>
                <w:color w:val="000000" w:themeColor="text1"/>
                <w:szCs w:val="21"/>
                <w14:textFill>
                  <w14:solidFill>
                    <w14:schemeClr w14:val="tx1"/>
                  </w14:solidFill>
                </w14:textFill>
              </w:rPr>
            </w:pPr>
          </w:p>
        </w:tc>
        <w:tc>
          <w:tcPr>
            <w:tcW w:w="1297" w:type="dxa"/>
            <w:vAlign w:val="center"/>
          </w:tcPr>
          <w:p w14:paraId="4106E90D">
            <w:pPr>
              <w:adjustRightInd w:val="0"/>
              <w:snapToGrid w:val="0"/>
              <w:jc w:val="center"/>
              <w:rPr>
                <w:color w:val="000000"/>
              </w:rPr>
            </w:pPr>
            <w:r>
              <w:rPr>
                <w:rFonts w:hint="eastAsia"/>
                <w:color w:val="000000"/>
              </w:rPr>
              <w:t>SS</w:t>
            </w:r>
          </w:p>
        </w:tc>
        <w:tc>
          <w:tcPr>
            <w:tcW w:w="1418" w:type="dxa"/>
            <w:vAlign w:val="center"/>
          </w:tcPr>
          <w:p w14:paraId="41276905">
            <w:pPr>
              <w:pStyle w:val="86"/>
            </w:pPr>
            <w:r>
              <w:rPr>
                <w:rFonts w:hint="eastAsia"/>
              </w:rPr>
              <w:t>0.0089t/a</w:t>
            </w:r>
          </w:p>
        </w:tc>
        <w:tc>
          <w:tcPr>
            <w:tcW w:w="1276" w:type="dxa"/>
            <w:vAlign w:val="center"/>
          </w:tcPr>
          <w:p w14:paraId="1FF4C1BB">
            <w:pPr>
              <w:pStyle w:val="86"/>
            </w:pPr>
            <w:r>
              <w:rPr>
                <w:rFonts w:hint="eastAsia"/>
              </w:rPr>
              <w:t>/</w:t>
            </w:r>
          </w:p>
        </w:tc>
        <w:tc>
          <w:tcPr>
            <w:tcW w:w="1417" w:type="dxa"/>
            <w:vAlign w:val="center"/>
          </w:tcPr>
          <w:p w14:paraId="0BB8DF67">
            <w:pPr>
              <w:pStyle w:val="86"/>
            </w:pPr>
            <w:r>
              <w:t>/</w:t>
            </w:r>
          </w:p>
        </w:tc>
        <w:tc>
          <w:tcPr>
            <w:tcW w:w="1559" w:type="dxa"/>
            <w:vAlign w:val="center"/>
          </w:tcPr>
          <w:p w14:paraId="4E5F3C4C">
            <w:pPr>
              <w:pStyle w:val="86"/>
            </w:pPr>
            <w:r>
              <w:t>0.0031</w:t>
            </w:r>
            <w:r>
              <w:rPr>
                <w:rFonts w:hint="eastAsia"/>
              </w:rPr>
              <w:t>t/a</w:t>
            </w:r>
          </w:p>
        </w:tc>
        <w:tc>
          <w:tcPr>
            <w:tcW w:w="1560" w:type="dxa"/>
            <w:vAlign w:val="center"/>
          </w:tcPr>
          <w:p w14:paraId="36990D32">
            <w:pPr>
              <w:pStyle w:val="86"/>
            </w:pPr>
            <w:r>
              <w:t>/</w:t>
            </w:r>
          </w:p>
        </w:tc>
        <w:tc>
          <w:tcPr>
            <w:tcW w:w="1841" w:type="dxa"/>
            <w:vAlign w:val="center"/>
          </w:tcPr>
          <w:p w14:paraId="289C0BFC">
            <w:pPr>
              <w:pStyle w:val="86"/>
            </w:pPr>
            <w:r>
              <w:rPr>
                <w:szCs w:val="21"/>
              </w:rPr>
              <w:t>0.0120</w:t>
            </w:r>
            <w:r>
              <w:rPr>
                <w:bCs w:val="0"/>
                <w:szCs w:val="21"/>
              </w:rPr>
              <w:t>t/a</w:t>
            </w:r>
          </w:p>
        </w:tc>
        <w:tc>
          <w:tcPr>
            <w:tcW w:w="1519" w:type="dxa"/>
            <w:vAlign w:val="center"/>
          </w:tcPr>
          <w:p w14:paraId="05848DB4">
            <w:pPr>
              <w:pStyle w:val="86"/>
            </w:pPr>
            <w:r>
              <w:rPr>
                <w:szCs w:val="21"/>
              </w:rPr>
              <w:t>+0.0031</w:t>
            </w:r>
            <w:r>
              <w:rPr>
                <w:bCs w:val="0"/>
                <w:szCs w:val="21"/>
              </w:rPr>
              <w:t>t/a</w:t>
            </w:r>
          </w:p>
        </w:tc>
      </w:tr>
      <w:tr w14:paraId="1099F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continue"/>
            <w:vAlign w:val="center"/>
          </w:tcPr>
          <w:p w14:paraId="2A2886F7">
            <w:pPr>
              <w:adjustRightInd w:val="0"/>
              <w:snapToGrid w:val="0"/>
              <w:jc w:val="center"/>
              <w:rPr>
                <w:color w:val="000000" w:themeColor="text1"/>
                <w:szCs w:val="21"/>
                <w14:textFill>
                  <w14:solidFill>
                    <w14:schemeClr w14:val="tx1"/>
                  </w14:solidFill>
                </w14:textFill>
              </w:rPr>
            </w:pPr>
          </w:p>
        </w:tc>
        <w:tc>
          <w:tcPr>
            <w:tcW w:w="1297" w:type="dxa"/>
            <w:vAlign w:val="center"/>
          </w:tcPr>
          <w:p w14:paraId="6FCE7E14">
            <w:pPr>
              <w:adjustRightInd w:val="0"/>
              <w:snapToGrid w:val="0"/>
              <w:jc w:val="center"/>
              <w:rPr>
                <w:color w:val="000000" w:themeColor="text1"/>
                <w:szCs w:val="21"/>
                <w14:textFill>
                  <w14:solidFill>
                    <w14:schemeClr w14:val="tx1"/>
                  </w14:solidFill>
                </w14:textFill>
              </w:rPr>
            </w:pPr>
            <w:r>
              <w:rPr>
                <w:color w:val="000000"/>
              </w:rPr>
              <w:t>NH</w:t>
            </w:r>
            <w:r>
              <w:rPr>
                <w:color w:val="000000"/>
                <w:vertAlign w:val="subscript"/>
              </w:rPr>
              <w:t>3</w:t>
            </w:r>
            <w:r>
              <w:rPr>
                <w:color w:val="000000"/>
              </w:rPr>
              <w:t>-N</w:t>
            </w:r>
          </w:p>
        </w:tc>
        <w:tc>
          <w:tcPr>
            <w:tcW w:w="1418" w:type="dxa"/>
            <w:vAlign w:val="center"/>
          </w:tcPr>
          <w:p w14:paraId="5FC7C8FD">
            <w:pPr>
              <w:pStyle w:val="86"/>
            </w:pPr>
            <w:r>
              <w:rPr>
                <w:rFonts w:hint="eastAsia"/>
              </w:rPr>
              <w:t>0.0018t/a</w:t>
            </w:r>
          </w:p>
        </w:tc>
        <w:tc>
          <w:tcPr>
            <w:tcW w:w="1276" w:type="dxa"/>
            <w:vAlign w:val="center"/>
          </w:tcPr>
          <w:p w14:paraId="0E767857">
            <w:pPr>
              <w:pStyle w:val="86"/>
            </w:pPr>
            <w:r>
              <w:rPr>
                <w:rFonts w:hint="eastAsia"/>
              </w:rPr>
              <w:t>0.0202t/a</w:t>
            </w:r>
          </w:p>
        </w:tc>
        <w:tc>
          <w:tcPr>
            <w:tcW w:w="1417" w:type="dxa"/>
            <w:vAlign w:val="center"/>
          </w:tcPr>
          <w:p w14:paraId="71F360B1">
            <w:pPr>
              <w:pStyle w:val="86"/>
            </w:pPr>
            <w:r>
              <w:t>/</w:t>
            </w:r>
          </w:p>
        </w:tc>
        <w:tc>
          <w:tcPr>
            <w:tcW w:w="1559" w:type="dxa"/>
            <w:vAlign w:val="center"/>
          </w:tcPr>
          <w:p w14:paraId="20D16442">
            <w:pPr>
              <w:pStyle w:val="86"/>
            </w:pPr>
            <w:r>
              <w:t>0.0006</w:t>
            </w:r>
            <w:r>
              <w:rPr>
                <w:rFonts w:hint="eastAsia"/>
              </w:rPr>
              <w:t>t/a</w:t>
            </w:r>
          </w:p>
        </w:tc>
        <w:tc>
          <w:tcPr>
            <w:tcW w:w="1560" w:type="dxa"/>
            <w:vAlign w:val="center"/>
          </w:tcPr>
          <w:p w14:paraId="1BFFF87E">
            <w:pPr>
              <w:pStyle w:val="86"/>
            </w:pPr>
            <w:r>
              <w:t>/</w:t>
            </w:r>
          </w:p>
        </w:tc>
        <w:tc>
          <w:tcPr>
            <w:tcW w:w="1841" w:type="dxa"/>
            <w:vAlign w:val="center"/>
          </w:tcPr>
          <w:p w14:paraId="45ECBC4F">
            <w:pPr>
              <w:pStyle w:val="86"/>
            </w:pPr>
            <w:r>
              <w:rPr>
                <w:szCs w:val="21"/>
              </w:rPr>
              <w:t>0.0024</w:t>
            </w:r>
            <w:r>
              <w:rPr>
                <w:bCs w:val="0"/>
                <w:szCs w:val="21"/>
              </w:rPr>
              <w:t>t/a</w:t>
            </w:r>
          </w:p>
        </w:tc>
        <w:tc>
          <w:tcPr>
            <w:tcW w:w="1519" w:type="dxa"/>
            <w:vAlign w:val="center"/>
          </w:tcPr>
          <w:p w14:paraId="260107EE">
            <w:pPr>
              <w:pStyle w:val="86"/>
            </w:pPr>
            <w:r>
              <w:rPr>
                <w:szCs w:val="21"/>
              </w:rPr>
              <w:t>+0.0006</w:t>
            </w:r>
            <w:r>
              <w:rPr>
                <w:bCs w:val="0"/>
                <w:szCs w:val="21"/>
              </w:rPr>
              <w:t>t/a</w:t>
            </w:r>
          </w:p>
        </w:tc>
      </w:tr>
      <w:tr w14:paraId="46AE2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continue"/>
            <w:vAlign w:val="center"/>
          </w:tcPr>
          <w:p w14:paraId="7729B42F">
            <w:pPr>
              <w:adjustRightInd w:val="0"/>
              <w:snapToGrid w:val="0"/>
              <w:jc w:val="center"/>
              <w:rPr>
                <w:color w:val="000000" w:themeColor="text1"/>
                <w:szCs w:val="21"/>
                <w14:textFill>
                  <w14:solidFill>
                    <w14:schemeClr w14:val="tx1"/>
                  </w14:solidFill>
                </w14:textFill>
              </w:rPr>
            </w:pPr>
          </w:p>
        </w:tc>
        <w:tc>
          <w:tcPr>
            <w:tcW w:w="1297" w:type="dxa"/>
            <w:vAlign w:val="center"/>
          </w:tcPr>
          <w:p w14:paraId="15F26756">
            <w:pPr>
              <w:adjustRightInd w:val="0"/>
              <w:snapToGrid w:val="0"/>
              <w:jc w:val="center"/>
              <w:rPr>
                <w:color w:val="000000" w:themeColor="text1"/>
                <w:szCs w:val="21"/>
                <w:lang w:val="zh-CN"/>
                <w14:textFill>
                  <w14:solidFill>
                    <w14:schemeClr w14:val="tx1"/>
                  </w14:solidFill>
                </w14:textFill>
              </w:rPr>
            </w:pPr>
            <w:r>
              <w:rPr>
                <w:color w:val="000000"/>
              </w:rPr>
              <w:t>TP</w:t>
            </w:r>
          </w:p>
        </w:tc>
        <w:tc>
          <w:tcPr>
            <w:tcW w:w="1418" w:type="dxa"/>
            <w:vAlign w:val="center"/>
          </w:tcPr>
          <w:p w14:paraId="0F731640">
            <w:pPr>
              <w:pStyle w:val="86"/>
            </w:pPr>
            <w:r>
              <w:rPr>
                <w:rFonts w:hint="eastAsia"/>
              </w:rPr>
              <w:t>0.0004t/a</w:t>
            </w:r>
          </w:p>
        </w:tc>
        <w:tc>
          <w:tcPr>
            <w:tcW w:w="1276" w:type="dxa"/>
            <w:vAlign w:val="center"/>
          </w:tcPr>
          <w:p w14:paraId="4D295E14">
            <w:pPr>
              <w:pStyle w:val="86"/>
            </w:pPr>
            <w:r>
              <w:rPr>
                <w:rFonts w:hint="eastAsia"/>
              </w:rPr>
              <w:t>0.002</w:t>
            </w:r>
            <w:r>
              <w:t>0</w:t>
            </w:r>
            <w:r>
              <w:rPr>
                <w:rFonts w:hint="eastAsia"/>
              </w:rPr>
              <w:t>t/a</w:t>
            </w:r>
          </w:p>
        </w:tc>
        <w:tc>
          <w:tcPr>
            <w:tcW w:w="1417" w:type="dxa"/>
            <w:vAlign w:val="center"/>
          </w:tcPr>
          <w:p w14:paraId="470B1462">
            <w:pPr>
              <w:pStyle w:val="86"/>
            </w:pPr>
            <w:r>
              <w:rPr>
                <w:rFonts w:hint="eastAsia"/>
              </w:rPr>
              <w:t>/</w:t>
            </w:r>
          </w:p>
        </w:tc>
        <w:tc>
          <w:tcPr>
            <w:tcW w:w="1559" w:type="dxa"/>
            <w:vAlign w:val="center"/>
          </w:tcPr>
          <w:p w14:paraId="0F19DBC1">
            <w:pPr>
              <w:pStyle w:val="86"/>
            </w:pPr>
            <w:r>
              <w:t>0.0001</w:t>
            </w:r>
            <w:r>
              <w:rPr>
                <w:rFonts w:hint="eastAsia"/>
              </w:rPr>
              <w:t>t/a</w:t>
            </w:r>
          </w:p>
        </w:tc>
        <w:tc>
          <w:tcPr>
            <w:tcW w:w="1560" w:type="dxa"/>
            <w:vAlign w:val="center"/>
          </w:tcPr>
          <w:p w14:paraId="6E104105">
            <w:pPr>
              <w:pStyle w:val="86"/>
            </w:pPr>
            <w:r>
              <w:rPr>
                <w:rFonts w:hint="eastAsia"/>
              </w:rPr>
              <w:t>/</w:t>
            </w:r>
          </w:p>
        </w:tc>
        <w:tc>
          <w:tcPr>
            <w:tcW w:w="1841" w:type="dxa"/>
            <w:vAlign w:val="center"/>
          </w:tcPr>
          <w:p w14:paraId="009B48B8">
            <w:pPr>
              <w:pStyle w:val="86"/>
            </w:pPr>
            <w:r>
              <w:rPr>
                <w:szCs w:val="21"/>
              </w:rPr>
              <w:t>0.0005</w:t>
            </w:r>
            <w:r>
              <w:rPr>
                <w:bCs w:val="0"/>
                <w:szCs w:val="21"/>
              </w:rPr>
              <w:t>t/a</w:t>
            </w:r>
          </w:p>
        </w:tc>
        <w:tc>
          <w:tcPr>
            <w:tcW w:w="1519" w:type="dxa"/>
            <w:vAlign w:val="center"/>
          </w:tcPr>
          <w:p w14:paraId="60415D89">
            <w:pPr>
              <w:pStyle w:val="86"/>
            </w:pPr>
            <w:r>
              <w:rPr>
                <w:szCs w:val="21"/>
              </w:rPr>
              <w:t>+0.0001</w:t>
            </w:r>
            <w:r>
              <w:rPr>
                <w:bCs w:val="0"/>
                <w:szCs w:val="21"/>
              </w:rPr>
              <w:t>t/a</w:t>
            </w:r>
          </w:p>
        </w:tc>
      </w:tr>
      <w:tr w14:paraId="47FE7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continue"/>
            <w:vAlign w:val="center"/>
          </w:tcPr>
          <w:p w14:paraId="23381937">
            <w:pPr>
              <w:adjustRightInd w:val="0"/>
              <w:snapToGrid w:val="0"/>
              <w:jc w:val="center"/>
              <w:rPr>
                <w:color w:val="000000" w:themeColor="text1"/>
                <w:szCs w:val="21"/>
                <w14:textFill>
                  <w14:solidFill>
                    <w14:schemeClr w14:val="tx1"/>
                  </w14:solidFill>
                </w14:textFill>
              </w:rPr>
            </w:pPr>
          </w:p>
        </w:tc>
        <w:tc>
          <w:tcPr>
            <w:tcW w:w="1297" w:type="dxa"/>
            <w:vAlign w:val="center"/>
          </w:tcPr>
          <w:p w14:paraId="3A2C11FF">
            <w:pPr>
              <w:adjustRightInd w:val="0"/>
              <w:snapToGrid w:val="0"/>
              <w:jc w:val="center"/>
              <w:rPr>
                <w:color w:val="000000" w:themeColor="text1"/>
                <w:szCs w:val="21"/>
                <w:lang w:val="zh-CN"/>
                <w14:textFill>
                  <w14:solidFill>
                    <w14:schemeClr w14:val="tx1"/>
                  </w14:solidFill>
                </w14:textFill>
              </w:rPr>
            </w:pPr>
            <w:r>
              <w:rPr>
                <w:color w:val="000000"/>
              </w:rPr>
              <w:t>TN</w:t>
            </w:r>
          </w:p>
        </w:tc>
        <w:tc>
          <w:tcPr>
            <w:tcW w:w="1418" w:type="dxa"/>
            <w:vAlign w:val="center"/>
          </w:tcPr>
          <w:p w14:paraId="47BB3442">
            <w:pPr>
              <w:pStyle w:val="86"/>
            </w:pPr>
            <w:r>
              <w:rPr>
                <w:rFonts w:hint="eastAsia"/>
              </w:rPr>
              <w:t>0.0133t/a</w:t>
            </w:r>
          </w:p>
        </w:tc>
        <w:tc>
          <w:tcPr>
            <w:tcW w:w="1276" w:type="dxa"/>
            <w:vAlign w:val="center"/>
          </w:tcPr>
          <w:p w14:paraId="73D0B2E5">
            <w:pPr>
              <w:pStyle w:val="86"/>
            </w:pPr>
            <w:r>
              <w:t>/</w:t>
            </w:r>
          </w:p>
        </w:tc>
        <w:tc>
          <w:tcPr>
            <w:tcW w:w="1417" w:type="dxa"/>
            <w:vAlign w:val="center"/>
          </w:tcPr>
          <w:p w14:paraId="286C031D">
            <w:pPr>
              <w:pStyle w:val="86"/>
            </w:pPr>
            <w:r>
              <w:rPr>
                <w:rFonts w:hint="eastAsia"/>
              </w:rPr>
              <w:t>/</w:t>
            </w:r>
          </w:p>
        </w:tc>
        <w:tc>
          <w:tcPr>
            <w:tcW w:w="1559" w:type="dxa"/>
            <w:vAlign w:val="center"/>
          </w:tcPr>
          <w:p w14:paraId="52C03631">
            <w:pPr>
              <w:pStyle w:val="86"/>
            </w:pPr>
            <w:r>
              <w:t>0.0046</w:t>
            </w:r>
            <w:r>
              <w:rPr>
                <w:rFonts w:hint="eastAsia"/>
              </w:rPr>
              <w:t>t/a</w:t>
            </w:r>
          </w:p>
        </w:tc>
        <w:tc>
          <w:tcPr>
            <w:tcW w:w="1560" w:type="dxa"/>
            <w:vAlign w:val="center"/>
          </w:tcPr>
          <w:p w14:paraId="32EBDAA8">
            <w:pPr>
              <w:pStyle w:val="86"/>
            </w:pPr>
            <w:r>
              <w:rPr>
                <w:rFonts w:hint="eastAsia"/>
              </w:rPr>
              <w:t>/</w:t>
            </w:r>
          </w:p>
        </w:tc>
        <w:tc>
          <w:tcPr>
            <w:tcW w:w="1841" w:type="dxa"/>
            <w:vAlign w:val="center"/>
          </w:tcPr>
          <w:p w14:paraId="1D30253E">
            <w:pPr>
              <w:pStyle w:val="86"/>
            </w:pPr>
            <w:r>
              <w:rPr>
                <w:color w:val="000000"/>
                <w:sz w:val="22"/>
                <w:szCs w:val="22"/>
              </w:rPr>
              <w:t>0.0</w:t>
            </w:r>
            <w:r>
              <w:rPr>
                <w:rFonts w:hint="eastAsia"/>
                <w:color w:val="000000"/>
                <w:sz w:val="22"/>
                <w:szCs w:val="22"/>
              </w:rPr>
              <w:t>1</w:t>
            </w:r>
            <w:r>
              <w:rPr>
                <w:bCs w:val="0"/>
                <w:szCs w:val="21"/>
              </w:rPr>
              <w:t>t/a</w:t>
            </w:r>
          </w:p>
        </w:tc>
        <w:tc>
          <w:tcPr>
            <w:tcW w:w="1519" w:type="dxa"/>
            <w:vAlign w:val="center"/>
          </w:tcPr>
          <w:p w14:paraId="5B117691">
            <w:pPr>
              <w:pStyle w:val="86"/>
            </w:pPr>
            <w:r>
              <w:rPr>
                <w:szCs w:val="21"/>
              </w:rPr>
              <w:t>+0.0046</w:t>
            </w:r>
            <w:r>
              <w:rPr>
                <w:bCs w:val="0"/>
                <w:szCs w:val="21"/>
              </w:rPr>
              <w:t>t/a</w:t>
            </w:r>
          </w:p>
        </w:tc>
      </w:tr>
      <w:tr w14:paraId="06A30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restart"/>
            <w:vAlign w:val="center"/>
          </w:tcPr>
          <w:p w14:paraId="028169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w:t>
            </w:r>
          </w:p>
          <w:p w14:paraId="39BDEC6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1297" w:type="dxa"/>
            <w:vAlign w:val="center"/>
          </w:tcPr>
          <w:p w14:paraId="46220322">
            <w:pPr>
              <w:pStyle w:val="86"/>
              <w:rPr>
                <w:color w:val="000000" w:themeColor="text1"/>
                <w:lang w:val="zh-CN"/>
                <w14:textFill>
                  <w14:solidFill>
                    <w14:schemeClr w14:val="tx1"/>
                  </w14:solidFill>
                </w14:textFill>
              </w:rPr>
            </w:pPr>
            <w:r>
              <w:rPr>
                <w:rFonts w:hint="eastAsia" w:ascii="宋体" w:hAnsi="宋体"/>
                <w:color w:val="000000"/>
              </w:rPr>
              <w:t>废边角料</w:t>
            </w:r>
          </w:p>
        </w:tc>
        <w:tc>
          <w:tcPr>
            <w:tcW w:w="1418" w:type="dxa"/>
            <w:vAlign w:val="center"/>
          </w:tcPr>
          <w:p w14:paraId="21DEFB2E">
            <w:pPr>
              <w:adjustRightInd w:val="0"/>
              <w:snapToGrid w:val="0"/>
              <w:jc w:val="center"/>
              <w:rPr>
                <w:color w:val="000000" w:themeColor="text1"/>
                <w:szCs w:val="21"/>
                <w14:textFill>
                  <w14:solidFill>
                    <w14:schemeClr w14:val="tx1"/>
                  </w14:solidFill>
                </w14:textFill>
              </w:rPr>
            </w:pPr>
            <w:r>
              <w:t>20t/a</w:t>
            </w:r>
          </w:p>
        </w:tc>
        <w:tc>
          <w:tcPr>
            <w:tcW w:w="1276" w:type="dxa"/>
            <w:vAlign w:val="center"/>
          </w:tcPr>
          <w:p w14:paraId="0256E6A9">
            <w:pPr>
              <w:adjustRightInd w:val="0"/>
              <w:snapToGrid w:val="0"/>
              <w:jc w:val="center"/>
              <w:rPr>
                <w:color w:val="000000" w:themeColor="text1"/>
                <w:szCs w:val="21"/>
                <w14:textFill>
                  <w14:solidFill>
                    <w14:schemeClr w14:val="tx1"/>
                  </w14:solidFill>
                </w14:textFill>
              </w:rPr>
            </w:pPr>
            <w:r>
              <w:t>/</w:t>
            </w:r>
          </w:p>
        </w:tc>
        <w:tc>
          <w:tcPr>
            <w:tcW w:w="1417" w:type="dxa"/>
            <w:vAlign w:val="center"/>
          </w:tcPr>
          <w:p w14:paraId="5ADB97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59" w:type="dxa"/>
            <w:vAlign w:val="center"/>
          </w:tcPr>
          <w:p w14:paraId="355B1BA5">
            <w:pPr>
              <w:pStyle w:val="86"/>
            </w:pPr>
            <w:r>
              <w:t>4</w:t>
            </w:r>
            <w:r>
              <w:rPr>
                <w:rFonts w:hint="eastAsia"/>
              </w:rPr>
              <w:t>t/a</w:t>
            </w:r>
          </w:p>
        </w:tc>
        <w:tc>
          <w:tcPr>
            <w:tcW w:w="1560" w:type="dxa"/>
            <w:vAlign w:val="center"/>
          </w:tcPr>
          <w:p w14:paraId="03404BB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41" w:type="dxa"/>
            <w:vAlign w:val="center"/>
          </w:tcPr>
          <w:p w14:paraId="54A50C29">
            <w:pPr>
              <w:adjustRightInd w:val="0"/>
              <w:snapToGrid w:val="0"/>
              <w:jc w:val="center"/>
              <w:rPr>
                <w:color w:val="000000" w:themeColor="text1"/>
                <w:szCs w:val="21"/>
                <w:lang w:val="zh-CN"/>
                <w14:textFill>
                  <w14:solidFill>
                    <w14:schemeClr w14:val="tx1"/>
                  </w14:solidFill>
                </w14:textFill>
              </w:rPr>
            </w:pPr>
            <w:r>
              <w:t>24t/a</w:t>
            </w:r>
          </w:p>
        </w:tc>
        <w:tc>
          <w:tcPr>
            <w:tcW w:w="1519" w:type="dxa"/>
            <w:vAlign w:val="center"/>
          </w:tcPr>
          <w:p w14:paraId="5AD05D95">
            <w:pPr>
              <w:adjustRightInd w:val="0"/>
              <w:snapToGrid w:val="0"/>
              <w:jc w:val="center"/>
              <w:rPr>
                <w:color w:val="000000" w:themeColor="text1"/>
                <w:szCs w:val="21"/>
                <w:lang w:val="zh-CN"/>
                <w14:textFill>
                  <w14:solidFill>
                    <w14:schemeClr w14:val="tx1"/>
                  </w14:solidFill>
                </w14:textFill>
              </w:rPr>
            </w:pPr>
            <w:r>
              <w:t>+4</w:t>
            </w:r>
            <w:r>
              <w:rPr>
                <w:rFonts w:hint="eastAsia"/>
              </w:rPr>
              <w:t>t/a</w:t>
            </w:r>
          </w:p>
        </w:tc>
      </w:tr>
      <w:tr w14:paraId="5AD77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continue"/>
            <w:vAlign w:val="center"/>
          </w:tcPr>
          <w:p w14:paraId="3692C6A0">
            <w:pPr>
              <w:adjustRightInd w:val="0"/>
              <w:snapToGrid w:val="0"/>
              <w:jc w:val="center"/>
              <w:rPr>
                <w:color w:val="000000" w:themeColor="text1"/>
                <w:szCs w:val="21"/>
                <w14:textFill>
                  <w14:solidFill>
                    <w14:schemeClr w14:val="tx1"/>
                  </w14:solidFill>
                </w14:textFill>
              </w:rPr>
            </w:pPr>
          </w:p>
        </w:tc>
        <w:tc>
          <w:tcPr>
            <w:tcW w:w="1297" w:type="dxa"/>
            <w:vAlign w:val="center"/>
          </w:tcPr>
          <w:p w14:paraId="37DAC569">
            <w:pPr>
              <w:pStyle w:val="86"/>
              <w:rPr>
                <w:color w:val="000000" w:themeColor="text1"/>
                <w:lang w:val="zh-CN"/>
                <w14:textFill>
                  <w14:solidFill>
                    <w14:schemeClr w14:val="tx1"/>
                  </w14:solidFill>
                </w14:textFill>
              </w:rPr>
            </w:pPr>
            <w:r>
              <w:rPr>
                <w:rFonts w:hint="eastAsia" w:ascii="宋体" w:hAnsi="宋体"/>
                <w:color w:val="000000"/>
              </w:rPr>
              <w:t>废滤网</w:t>
            </w:r>
          </w:p>
        </w:tc>
        <w:tc>
          <w:tcPr>
            <w:tcW w:w="1418" w:type="dxa"/>
            <w:vAlign w:val="center"/>
          </w:tcPr>
          <w:p w14:paraId="5ED42C74">
            <w:pPr>
              <w:adjustRightInd w:val="0"/>
              <w:snapToGrid w:val="0"/>
              <w:jc w:val="center"/>
              <w:rPr>
                <w:color w:val="000000" w:themeColor="text1"/>
                <w:szCs w:val="21"/>
                <w14:textFill>
                  <w14:solidFill>
                    <w14:schemeClr w14:val="tx1"/>
                  </w14:solidFill>
                </w14:textFill>
              </w:rPr>
            </w:pPr>
            <w:r>
              <w:t>15t/a</w:t>
            </w:r>
          </w:p>
        </w:tc>
        <w:tc>
          <w:tcPr>
            <w:tcW w:w="1276" w:type="dxa"/>
            <w:vAlign w:val="center"/>
          </w:tcPr>
          <w:p w14:paraId="0CBA39C8">
            <w:pPr>
              <w:adjustRightInd w:val="0"/>
              <w:snapToGrid w:val="0"/>
              <w:jc w:val="center"/>
              <w:rPr>
                <w:color w:val="000000" w:themeColor="text1"/>
                <w:szCs w:val="21"/>
                <w14:textFill>
                  <w14:solidFill>
                    <w14:schemeClr w14:val="tx1"/>
                  </w14:solidFill>
                </w14:textFill>
              </w:rPr>
            </w:pPr>
            <w:r>
              <w:t>/</w:t>
            </w:r>
          </w:p>
        </w:tc>
        <w:tc>
          <w:tcPr>
            <w:tcW w:w="1417" w:type="dxa"/>
            <w:vAlign w:val="center"/>
          </w:tcPr>
          <w:p w14:paraId="5F4766C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59" w:type="dxa"/>
            <w:vAlign w:val="center"/>
          </w:tcPr>
          <w:p w14:paraId="513DBD53">
            <w:pPr>
              <w:pStyle w:val="86"/>
            </w:pPr>
            <w:r>
              <w:t>3</w:t>
            </w:r>
            <w:r>
              <w:rPr>
                <w:rFonts w:hint="eastAsia"/>
              </w:rPr>
              <w:t>t/a</w:t>
            </w:r>
          </w:p>
        </w:tc>
        <w:tc>
          <w:tcPr>
            <w:tcW w:w="1560" w:type="dxa"/>
            <w:vAlign w:val="center"/>
          </w:tcPr>
          <w:p w14:paraId="4894F05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41" w:type="dxa"/>
            <w:vAlign w:val="center"/>
          </w:tcPr>
          <w:p w14:paraId="14D6307A">
            <w:pPr>
              <w:adjustRightInd w:val="0"/>
              <w:snapToGrid w:val="0"/>
              <w:jc w:val="center"/>
              <w:rPr>
                <w:color w:val="000000" w:themeColor="text1"/>
                <w:szCs w:val="21"/>
                <w:lang w:val="zh-CN"/>
                <w14:textFill>
                  <w14:solidFill>
                    <w14:schemeClr w14:val="tx1"/>
                  </w14:solidFill>
                </w14:textFill>
              </w:rPr>
            </w:pPr>
            <w:r>
              <w:rPr>
                <w:bCs/>
              </w:rPr>
              <w:t>18t/a</w:t>
            </w:r>
          </w:p>
        </w:tc>
        <w:tc>
          <w:tcPr>
            <w:tcW w:w="1519" w:type="dxa"/>
            <w:vAlign w:val="center"/>
          </w:tcPr>
          <w:p w14:paraId="780E6221">
            <w:pPr>
              <w:adjustRightInd w:val="0"/>
              <w:snapToGrid w:val="0"/>
              <w:jc w:val="center"/>
              <w:rPr>
                <w:color w:val="000000" w:themeColor="text1"/>
                <w:szCs w:val="21"/>
                <w:lang w:val="zh-CN"/>
                <w14:textFill>
                  <w14:solidFill>
                    <w14:schemeClr w14:val="tx1"/>
                  </w14:solidFill>
                </w14:textFill>
              </w:rPr>
            </w:pPr>
            <w:r>
              <w:t>+3</w:t>
            </w:r>
            <w:r>
              <w:rPr>
                <w:rFonts w:hint="eastAsia"/>
              </w:rPr>
              <w:t>t/a</w:t>
            </w:r>
          </w:p>
        </w:tc>
      </w:tr>
      <w:tr w14:paraId="18E71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continue"/>
            <w:vAlign w:val="center"/>
          </w:tcPr>
          <w:p w14:paraId="1675703A">
            <w:pPr>
              <w:adjustRightInd w:val="0"/>
              <w:snapToGrid w:val="0"/>
              <w:jc w:val="center"/>
              <w:rPr>
                <w:color w:val="000000" w:themeColor="text1"/>
                <w:szCs w:val="21"/>
                <w14:textFill>
                  <w14:solidFill>
                    <w14:schemeClr w14:val="tx1"/>
                  </w14:solidFill>
                </w14:textFill>
              </w:rPr>
            </w:pPr>
          </w:p>
        </w:tc>
        <w:tc>
          <w:tcPr>
            <w:tcW w:w="1297" w:type="dxa"/>
            <w:vAlign w:val="center"/>
          </w:tcPr>
          <w:p w14:paraId="325F2C4D">
            <w:pPr>
              <w:pStyle w:val="86"/>
              <w:rPr>
                <w:color w:val="000000" w:themeColor="text1"/>
                <w:lang w:val="zh-CN"/>
                <w14:textFill>
                  <w14:solidFill>
                    <w14:schemeClr w14:val="tx1"/>
                  </w14:solidFill>
                </w14:textFill>
              </w:rPr>
            </w:pPr>
            <w:r>
              <w:rPr>
                <w:rFonts w:hint="eastAsia" w:ascii="宋体" w:hAnsi="宋体"/>
              </w:rPr>
              <w:t>污泥</w:t>
            </w:r>
          </w:p>
        </w:tc>
        <w:tc>
          <w:tcPr>
            <w:tcW w:w="1418" w:type="dxa"/>
            <w:vAlign w:val="center"/>
          </w:tcPr>
          <w:p w14:paraId="0833478A">
            <w:pPr>
              <w:adjustRightInd w:val="0"/>
              <w:snapToGrid w:val="0"/>
              <w:jc w:val="center"/>
              <w:rPr>
                <w:color w:val="000000" w:themeColor="text1"/>
                <w:szCs w:val="21"/>
                <w14:textFill>
                  <w14:solidFill>
                    <w14:schemeClr w14:val="tx1"/>
                  </w14:solidFill>
                </w14:textFill>
              </w:rPr>
            </w:pPr>
            <w:r>
              <w:t>100t/a</w:t>
            </w:r>
          </w:p>
        </w:tc>
        <w:tc>
          <w:tcPr>
            <w:tcW w:w="1276" w:type="dxa"/>
            <w:vAlign w:val="center"/>
          </w:tcPr>
          <w:p w14:paraId="324C2A23">
            <w:pPr>
              <w:adjustRightInd w:val="0"/>
              <w:snapToGrid w:val="0"/>
              <w:jc w:val="center"/>
              <w:rPr>
                <w:color w:val="000000" w:themeColor="text1"/>
                <w:szCs w:val="21"/>
                <w14:textFill>
                  <w14:solidFill>
                    <w14:schemeClr w14:val="tx1"/>
                  </w14:solidFill>
                </w14:textFill>
              </w:rPr>
            </w:pPr>
            <w:r>
              <w:t>/</w:t>
            </w:r>
          </w:p>
        </w:tc>
        <w:tc>
          <w:tcPr>
            <w:tcW w:w="1417" w:type="dxa"/>
            <w:vAlign w:val="center"/>
          </w:tcPr>
          <w:p w14:paraId="2EF952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59" w:type="dxa"/>
            <w:vAlign w:val="center"/>
          </w:tcPr>
          <w:p w14:paraId="2DE318F8">
            <w:pPr>
              <w:pStyle w:val="86"/>
            </w:pPr>
            <w:r>
              <w:t>24</w:t>
            </w:r>
            <w:r>
              <w:rPr>
                <w:rFonts w:hint="eastAsia"/>
              </w:rPr>
              <w:t>t/a</w:t>
            </w:r>
          </w:p>
        </w:tc>
        <w:tc>
          <w:tcPr>
            <w:tcW w:w="1560" w:type="dxa"/>
            <w:vAlign w:val="center"/>
          </w:tcPr>
          <w:p w14:paraId="7C41A3F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41" w:type="dxa"/>
            <w:vAlign w:val="center"/>
          </w:tcPr>
          <w:p w14:paraId="7D3BBAE0">
            <w:pPr>
              <w:adjustRightInd w:val="0"/>
              <w:snapToGrid w:val="0"/>
              <w:jc w:val="center"/>
              <w:rPr>
                <w:color w:val="000000" w:themeColor="text1"/>
                <w:szCs w:val="21"/>
                <w:lang w:val="zh-CN"/>
                <w14:textFill>
                  <w14:solidFill>
                    <w14:schemeClr w14:val="tx1"/>
                  </w14:solidFill>
                </w14:textFill>
              </w:rPr>
            </w:pPr>
            <w:r>
              <w:rPr>
                <w:bCs/>
              </w:rPr>
              <w:t>124t/a</w:t>
            </w:r>
          </w:p>
        </w:tc>
        <w:tc>
          <w:tcPr>
            <w:tcW w:w="1519" w:type="dxa"/>
            <w:vAlign w:val="center"/>
          </w:tcPr>
          <w:p w14:paraId="777D31A9">
            <w:pPr>
              <w:adjustRightInd w:val="0"/>
              <w:snapToGrid w:val="0"/>
              <w:jc w:val="center"/>
              <w:rPr>
                <w:color w:val="000000" w:themeColor="text1"/>
                <w:szCs w:val="21"/>
                <w:lang w:val="zh-CN"/>
                <w14:textFill>
                  <w14:solidFill>
                    <w14:schemeClr w14:val="tx1"/>
                  </w14:solidFill>
                </w14:textFill>
              </w:rPr>
            </w:pPr>
            <w:r>
              <w:t>+24</w:t>
            </w:r>
            <w:r>
              <w:rPr>
                <w:rFonts w:hint="eastAsia"/>
              </w:rPr>
              <w:t>t/a</w:t>
            </w:r>
          </w:p>
        </w:tc>
      </w:tr>
      <w:tr w14:paraId="5DA04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restart"/>
            <w:vAlign w:val="center"/>
          </w:tcPr>
          <w:p w14:paraId="2E9BE6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1297" w:type="dxa"/>
            <w:vAlign w:val="center"/>
          </w:tcPr>
          <w:p w14:paraId="2DF0E085">
            <w:pPr>
              <w:pStyle w:val="86"/>
            </w:pPr>
            <w:r>
              <w:rPr>
                <w:rFonts w:hint="eastAsia"/>
              </w:rPr>
              <w:t>废油</w:t>
            </w:r>
          </w:p>
        </w:tc>
        <w:tc>
          <w:tcPr>
            <w:tcW w:w="1418" w:type="dxa"/>
            <w:vAlign w:val="center"/>
          </w:tcPr>
          <w:p w14:paraId="0CE216B3">
            <w:pPr>
              <w:adjustRightInd w:val="0"/>
              <w:snapToGrid w:val="0"/>
              <w:jc w:val="center"/>
              <w:rPr>
                <w:color w:val="000000" w:themeColor="text1"/>
                <w:szCs w:val="21"/>
                <w14:textFill>
                  <w14:solidFill>
                    <w14:schemeClr w14:val="tx1"/>
                  </w14:solidFill>
                </w14:textFill>
              </w:rPr>
            </w:pPr>
            <w:r>
              <w:rPr>
                <w:rFonts w:hint="eastAsia"/>
              </w:rPr>
              <w:t>0.6</w:t>
            </w:r>
            <w:r>
              <w:t>t/a</w:t>
            </w:r>
          </w:p>
        </w:tc>
        <w:tc>
          <w:tcPr>
            <w:tcW w:w="1276" w:type="dxa"/>
            <w:vAlign w:val="center"/>
          </w:tcPr>
          <w:p w14:paraId="588D965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417" w:type="dxa"/>
            <w:vAlign w:val="center"/>
          </w:tcPr>
          <w:p w14:paraId="4ACD3BC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59" w:type="dxa"/>
            <w:vAlign w:val="center"/>
          </w:tcPr>
          <w:p w14:paraId="3E7A4523">
            <w:pPr>
              <w:pStyle w:val="86"/>
            </w:pPr>
            <w:r>
              <w:t>0.1282</w:t>
            </w:r>
            <w:r>
              <w:rPr>
                <w:rFonts w:hint="eastAsia"/>
              </w:rPr>
              <w:t>t/a</w:t>
            </w:r>
          </w:p>
        </w:tc>
        <w:tc>
          <w:tcPr>
            <w:tcW w:w="1560" w:type="dxa"/>
            <w:vAlign w:val="center"/>
          </w:tcPr>
          <w:p w14:paraId="73BB2A6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41" w:type="dxa"/>
            <w:vAlign w:val="center"/>
          </w:tcPr>
          <w:p w14:paraId="6E559CD5">
            <w:pPr>
              <w:adjustRightInd w:val="0"/>
              <w:snapToGrid w:val="0"/>
              <w:jc w:val="center"/>
              <w:rPr>
                <w:color w:val="000000" w:themeColor="text1"/>
                <w:szCs w:val="21"/>
                <w:lang w:val="zh-CN"/>
                <w14:textFill>
                  <w14:solidFill>
                    <w14:schemeClr w14:val="tx1"/>
                  </w14:solidFill>
                </w14:textFill>
              </w:rPr>
            </w:pPr>
            <w:r>
              <w:rPr>
                <w:rFonts w:hint="eastAsia"/>
              </w:rPr>
              <w:t>0.7282</w:t>
            </w:r>
            <w:r>
              <w:t>t/a</w:t>
            </w:r>
          </w:p>
        </w:tc>
        <w:tc>
          <w:tcPr>
            <w:tcW w:w="1519" w:type="dxa"/>
            <w:vAlign w:val="center"/>
          </w:tcPr>
          <w:p w14:paraId="656E903C">
            <w:pPr>
              <w:adjustRightInd w:val="0"/>
              <w:snapToGrid w:val="0"/>
              <w:jc w:val="center"/>
              <w:rPr>
                <w:color w:val="000000" w:themeColor="text1"/>
                <w:szCs w:val="21"/>
                <w:lang w:val="zh-CN"/>
                <w14:textFill>
                  <w14:solidFill>
                    <w14:schemeClr w14:val="tx1"/>
                  </w14:solidFill>
                </w14:textFill>
              </w:rPr>
            </w:pPr>
            <w:r>
              <w:rPr>
                <w:rFonts w:hint="eastAsia"/>
              </w:rPr>
              <w:t>+</w:t>
            </w:r>
            <w:r>
              <w:t>0.1282</w:t>
            </w:r>
            <w:r>
              <w:rPr>
                <w:rFonts w:hint="eastAsia"/>
              </w:rPr>
              <w:t>t/a</w:t>
            </w:r>
          </w:p>
        </w:tc>
      </w:tr>
      <w:tr w14:paraId="5630A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continue"/>
            <w:vAlign w:val="center"/>
          </w:tcPr>
          <w:p w14:paraId="775EB172">
            <w:pPr>
              <w:adjustRightInd w:val="0"/>
              <w:snapToGrid w:val="0"/>
              <w:jc w:val="center"/>
              <w:rPr>
                <w:color w:val="000000" w:themeColor="text1"/>
                <w:szCs w:val="21"/>
                <w14:textFill>
                  <w14:solidFill>
                    <w14:schemeClr w14:val="tx1"/>
                  </w14:solidFill>
                </w14:textFill>
              </w:rPr>
            </w:pPr>
          </w:p>
        </w:tc>
        <w:tc>
          <w:tcPr>
            <w:tcW w:w="1297" w:type="dxa"/>
            <w:vAlign w:val="center"/>
          </w:tcPr>
          <w:p w14:paraId="06CA4D7E">
            <w:pPr>
              <w:pStyle w:val="86"/>
            </w:pPr>
            <w:r>
              <w:rPr>
                <w:rFonts w:hint="eastAsia"/>
              </w:rPr>
              <w:t>废活性炭</w:t>
            </w:r>
          </w:p>
        </w:tc>
        <w:tc>
          <w:tcPr>
            <w:tcW w:w="1418" w:type="dxa"/>
            <w:vAlign w:val="center"/>
          </w:tcPr>
          <w:p w14:paraId="1A0B7D9E">
            <w:pPr>
              <w:adjustRightInd w:val="0"/>
              <w:snapToGrid w:val="0"/>
              <w:jc w:val="center"/>
              <w:rPr>
                <w:color w:val="000000" w:themeColor="text1"/>
                <w:szCs w:val="21"/>
                <w14:textFill>
                  <w14:solidFill>
                    <w14:schemeClr w14:val="tx1"/>
                  </w14:solidFill>
                </w14:textFill>
              </w:rPr>
            </w:pPr>
            <w:r>
              <w:t>5t/a</w:t>
            </w:r>
          </w:p>
        </w:tc>
        <w:tc>
          <w:tcPr>
            <w:tcW w:w="1276" w:type="dxa"/>
            <w:vAlign w:val="center"/>
          </w:tcPr>
          <w:p w14:paraId="45DEDBA2">
            <w:pPr>
              <w:adjustRightInd w:val="0"/>
              <w:snapToGrid w:val="0"/>
              <w:jc w:val="center"/>
              <w:rPr>
                <w:color w:val="000000" w:themeColor="text1"/>
                <w:szCs w:val="21"/>
                <w14:textFill>
                  <w14:solidFill>
                    <w14:schemeClr w14:val="tx1"/>
                  </w14:solidFill>
                </w14:textFill>
              </w:rPr>
            </w:pPr>
            <w:r>
              <w:t>/</w:t>
            </w:r>
          </w:p>
        </w:tc>
        <w:tc>
          <w:tcPr>
            <w:tcW w:w="1417" w:type="dxa"/>
            <w:vAlign w:val="center"/>
          </w:tcPr>
          <w:p w14:paraId="119CA96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59" w:type="dxa"/>
            <w:vAlign w:val="center"/>
          </w:tcPr>
          <w:p w14:paraId="421B75D6">
            <w:pPr>
              <w:pStyle w:val="86"/>
            </w:pPr>
            <w:r>
              <w:t>1</w:t>
            </w:r>
            <w:r>
              <w:rPr>
                <w:rFonts w:hint="eastAsia"/>
              </w:rPr>
              <w:t>t/a</w:t>
            </w:r>
          </w:p>
        </w:tc>
        <w:tc>
          <w:tcPr>
            <w:tcW w:w="1560" w:type="dxa"/>
            <w:vAlign w:val="center"/>
          </w:tcPr>
          <w:p w14:paraId="32846D0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41" w:type="dxa"/>
            <w:vAlign w:val="center"/>
          </w:tcPr>
          <w:p w14:paraId="1D57A107">
            <w:pPr>
              <w:adjustRightInd w:val="0"/>
              <w:snapToGrid w:val="0"/>
              <w:jc w:val="center"/>
              <w:rPr>
                <w:color w:val="000000" w:themeColor="text1"/>
                <w:szCs w:val="21"/>
                <w:lang w:val="zh-CN"/>
                <w14:textFill>
                  <w14:solidFill>
                    <w14:schemeClr w14:val="tx1"/>
                  </w14:solidFill>
                </w14:textFill>
              </w:rPr>
            </w:pPr>
            <w:r>
              <w:rPr>
                <w:bCs/>
              </w:rPr>
              <w:t>6t/a</w:t>
            </w:r>
          </w:p>
        </w:tc>
        <w:tc>
          <w:tcPr>
            <w:tcW w:w="1519" w:type="dxa"/>
            <w:vAlign w:val="center"/>
          </w:tcPr>
          <w:p w14:paraId="45C94A35">
            <w:pPr>
              <w:adjustRightInd w:val="0"/>
              <w:snapToGrid w:val="0"/>
              <w:jc w:val="center"/>
              <w:rPr>
                <w:color w:val="000000" w:themeColor="text1"/>
                <w:szCs w:val="21"/>
                <w:lang w:val="zh-CN"/>
                <w14:textFill>
                  <w14:solidFill>
                    <w14:schemeClr w14:val="tx1"/>
                  </w14:solidFill>
                </w14:textFill>
              </w:rPr>
            </w:pPr>
            <w:r>
              <w:t>+1</w:t>
            </w:r>
            <w:r>
              <w:rPr>
                <w:rFonts w:hint="eastAsia"/>
              </w:rPr>
              <w:t>t/a</w:t>
            </w:r>
          </w:p>
        </w:tc>
      </w:tr>
      <w:tr w14:paraId="35159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vMerge w:val="continue"/>
            <w:vAlign w:val="center"/>
          </w:tcPr>
          <w:p w14:paraId="2305F38F">
            <w:pPr>
              <w:adjustRightInd w:val="0"/>
              <w:snapToGrid w:val="0"/>
              <w:jc w:val="center"/>
              <w:rPr>
                <w:color w:val="000000" w:themeColor="text1"/>
                <w:szCs w:val="21"/>
                <w14:textFill>
                  <w14:solidFill>
                    <w14:schemeClr w14:val="tx1"/>
                  </w14:solidFill>
                </w14:textFill>
              </w:rPr>
            </w:pPr>
          </w:p>
        </w:tc>
        <w:tc>
          <w:tcPr>
            <w:tcW w:w="1297" w:type="dxa"/>
            <w:vAlign w:val="center"/>
          </w:tcPr>
          <w:p w14:paraId="365D7863">
            <w:pPr>
              <w:pStyle w:val="86"/>
            </w:pPr>
            <w:r>
              <w:rPr>
                <w:rFonts w:hint="eastAsia"/>
              </w:rPr>
              <w:t>废催化剂</w:t>
            </w:r>
          </w:p>
        </w:tc>
        <w:tc>
          <w:tcPr>
            <w:tcW w:w="1418" w:type="dxa"/>
            <w:vAlign w:val="center"/>
          </w:tcPr>
          <w:p w14:paraId="3AE033B9">
            <w:pPr>
              <w:adjustRightInd w:val="0"/>
              <w:snapToGrid w:val="0"/>
              <w:jc w:val="center"/>
              <w:rPr>
                <w:color w:val="000000" w:themeColor="text1"/>
                <w:szCs w:val="21"/>
                <w14:textFill>
                  <w14:solidFill>
                    <w14:schemeClr w14:val="tx1"/>
                  </w14:solidFill>
                </w14:textFill>
              </w:rPr>
            </w:pPr>
            <w:r>
              <w:t>0.25t/5a</w:t>
            </w:r>
          </w:p>
        </w:tc>
        <w:tc>
          <w:tcPr>
            <w:tcW w:w="1276" w:type="dxa"/>
            <w:vAlign w:val="center"/>
          </w:tcPr>
          <w:p w14:paraId="462D1E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417" w:type="dxa"/>
            <w:vAlign w:val="center"/>
          </w:tcPr>
          <w:p w14:paraId="4BEB28E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59" w:type="dxa"/>
            <w:vAlign w:val="center"/>
          </w:tcPr>
          <w:p w14:paraId="178D9C49">
            <w:pPr>
              <w:pStyle w:val="86"/>
            </w:pPr>
            <w:r>
              <w:t>0.05t/5a</w:t>
            </w:r>
          </w:p>
        </w:tc>
        <w:tc>
          <w:tcPr>
            <w:tcW w:w="1560" w:type="dxa"/>
            <w:vAlign w:val="center"/>
          </w:tcPr>
          <w:p w14:paraId="2EB158F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41" w:type="dxa"/>
            <w:vAlign w:val="center"/>
          </w:tcPr>
          <w:p w14:paraId="64AFABCA">
            <w:pPr>
              <w:adjustRightInd w:val="0"/>
              <w:snapToGrid w:val="0"/>
              <w:jc w:val="center"/>
              <w:rPr>
                <w:color w:val="000000" w:themeColor="text1"/>
                <w:szCs w:val="21"/>
                <w14:textFill>
                  <w14:solidFill>
                    <w14:schemeClr w14:val="tx1"/>
                  </w14:solidFill>
                </w14:textFill>
              </w:rPr>
            </w:pPr>
            <w:r>
              <w:t>0.3t/5a</w:t>
            </w:r>
          </w:p>
        </w:tc>
        <w:tc>
          <w:tcPr>
            <w:tcW w:w="1519" w:type="dxa"/>
            <w:vAlign w:val="center"/>
          </w:tcPr>
          <w:p w14:paraId="425E41F8">
            <w:pPr>
              <w:adjustRightInd w:val="0"/>
              <w:snapToGrid w:val="0"/>
              <w:jc w:val="center"/>
              <w:rPr>
                <w:color w:val="000000" w:themeColor="text1"/>
                <w:szCs w:val="21"/>
                <w14:textFill>
                  <w14:solidFill>
                    <w14:schemeClr w14:val="tx1"/>
                  </w14:solidFill>
                </w14:textFill>
              </w:rPr>
            </w:pPr>
            <w:r>
              <w:t>+0.05t/5a</w:t>
            </w:r>
          </w:p>
        </w:tc>
      </w:tr>
    </w:tbl>
    <w:p w14:paraId="29465B81">
      <w:pPr>
        <w:pStyle w:val="44"/>
        <w:spacing w:before="192" w:beforeLines="80" w:after="24"/>
        <w:ind w:firstLine="0" w:firstLineChars="0"/>
        <w:jc w:val="left"/>
        <w:rPr>
          <w:snapToGrid w:val="0"/>
          <w:color w:val="000000" w:themeColor="text1"/>
          <w:spacing w:val="-6"/>
          <w:kern w:val="21"/>
          <w:szCs w:val="21"/>
          <w14:textFill>
            <w14:solidFill>
              <w14:schemeClr w14:val="tx1"/>
            </w14:solidFill>
          </w14:textFill>
        </w:rPr>
        <w:sectPr>
          <w:pgSz w:w="16838" w:h="11906" w:orient="landscape"/>
          <w:pgMar w:top="1531" w:right="1701" w:bottom="1531" w:left="1701" w:header="851" w:footer="851" w:gutter="0"/>
          <w:cols w:space="720" w:num="1"/>
          <w:docGrid w:linePitch="312" w:charSpace="0"/>
        </w:sectPr>
      </w:pPr>
      <w:r>
        <w:rPr>
          <w:snapToGrid w:val="0"/>
          <w:color w:val="000000" w:themeColor="text1"/>
          <w:kern w:val="21"/>
          <w:szCs w:val="21"/>
          <w14:textFill>
            <w14:solidFill>
              <w14:schemeClr w14:val="tx1"/>
            </w14:solidFill>
          </w14:textFill>
        </w:rPr>
        <w:t>注：</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3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③</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4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④</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5 \* GB3 \* MERGEFORMAT </w:instrText>
      </w:r>
      <w:r>
        <w:rPr>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⑤</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7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⑦</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p>
    <w:p w14:paraId="27EA18FC">
      <w:pPr>
        <w:pStyle w:val="86"/>
        <w:bidi w:val="0"/>
        <w:sectPr>
          <w:footerReference r:id="rId6" w:type="default"/>
          <w:pgSz w:w="11906" w:h="16838"/>
          <w:pgMar w:top="1701" w:right="1531" w:bottom="1701" w:left="1531" w:header="851" w:footer="851" w:gutter="0"/>
          <w:cols w:space="720" w:num="1"/>
          <w:docGrid w:linePitch="312" w:charSpace="0"/>
        </w:sectPr>
      </w:pPr>
      <w:r>
        <w:drawing>
          <wp:inline distT="0" distB="0" distL="114300" distR="114300">
            <wp:extent cx="4714875" cy="7058025"/>
            <wp:effectExtent l="0" t="0" r="952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6"/>
                    <a:stretch>
                      <a:fillRect/>
                    </a:stretch>
                  </pic:blipFill>
                  <pic:spPr>
                    <a:xfrm>
                      <a:off x="0" y="0"/>
                      <a:ext cx="4714875" cy="7058025"/>
                    </a:xfrm>
                    <a:prstGeom prst="rect">
                      <a:avLst/>
                    </a:prstGeom>
                    <a:noFill/>
                    <a:ln>
                      <a:noFill/>
                    </a:ln>
                  </pic:spPr>
                </pic:pic>
              </a:graphicData>
            </a:graphic>
          </wp:inline>
        </w:drawing>
      </w:r>
    </w:p>
    <w:p w14:paraId="474DAB38">
      <w:pPr>
        <w:pStyle w:val="86"/>
        <w:bidi w:val="0"/>
        <w:sectPr>
          <w:pgSz w:w="16838" w:h="11906" w:orient="landscape"/>
          <w:pgMar w:top="1531" w:right="1701" w:bottom="1531" w:left="1701" w:header="851" w:footer="851" w:gutter="0"/>
          <w:cols w:space="720" w:num="1"/>
          <w:docGrid w:linePitch="312" w:charSpace="0"/>
        </w:sectPr>
      </w:pPr>
      <w:r>
        <w:drawing>
          <wp:inline distT="0" distB="0" distL="114300" distR="114300">
            <wp:extent cx="7672070" cy="5934075"/>
            <wp:effectExtent l="0" t="0" r="889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7"/>
                    <a:stretch>
                      <a:fillRect/>
                    </a:stretch>
                  </pic:blipFill>
                  <pic:spPr>
                    <a:xfrm>
                      <a:off x="0" y="0"/>
                      <a:ext cx="7672070" cy="5934075"/>
                    </a:xfrm>
                    <a:prstGeom prst="rect">
                      <a:avLst/>
                    </a:prstGeom>
                    <a:noFill/>
                    <a:ln>
                      <a:noFill/>
                    </a:ln>
                  </pic:spPr>
                </pic:pic>
              </a:graphicData>
            </a:graphic>
          </wp:inline>
        </w:drawing>
      </w:r>
    </w:p>
    <w:p w14:paraId="3A403876">
      <w:pPr>
        <w:pStyle w:val="86"/>
        <w:bidi w:val="0"/>
        <w:sectPr>
          <w:pgSz w:w="16838" w:h="11906" w:orient="landscape"/>
          <w:pgMar w:top="1531" w:right="1701" w:bottom="1531" w:left="1701" w:header="851" w:footer="851" w:gutter="0"/>
          <w:cols w:space="720" w:num="1"/>
          <w:docGrid w:linePitch="312" w:charSpace="0"/>
        </w:sectPr>
      </w:pPr>
      <w:r>
        <w:drawing>
          <wp:inline distT="0" distB="0" distL="114300" distR="114300">
            <wp:extent cx="8531225" cy="6014085"/>
            <wp:effectExtent l="0" t="0" r="3175"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8"/>
                    <a:stretch>
                      <a:fillRect/>
                    </a:stretch>
                  </pic:blipFill>
                  <pic:spPr>
                    <a:xfrm>
                      <a:off x="0" y="0"/>
                      <a:ext cx="8531225" cy="6014085"/>
                    </a:xfrm>
                    <a:prstGeom prst="rect">
                      <a:avLst/>
                    </a:prstGeom>
                    <a:noFill/>
                    <a:ln>
                      <a:noFill/>
                    </a:ln>
                  </pic:spPr>
                </pic:pic>
              </a:graphicData>
            </a:graphic>
          </wp:inline>
        </w:drawing>
      </w:r>
    </w:p>
    <w:p w14:paraId="251F603D">
      <w:pPr>
        <w:pStyle w:val="86"/>
        <w:bidi w:val="0"/>
        <w:sectPr>
          <w:pgSz w:w="16838" w:h="11906" w:orient="landscape"/>
          <w:pgMar w:top="1531" w:right="1701" w:bottom="1531" w:left="1701" w:header="851" w:footer="851" w:gutter="0"/>
          <w:cols w:space="720" w:num="1"/>
          <w:docGrid w:linePitch="312" w:charSpace="0"/>
        </w:sectPr>
      </w:pPr>
      <w:r>
        <w:drawing>
          <wp:inline distT="0" distB="0" distL="114300" distR="114300">
            <wp:extent cx="8522970" cy="5443220"/>
            <wp:effectExtent l="0" t="0" r="11430"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9"/>
                    <a:stretch>
                      <a:fillRect/>
                    </a:stretch>
                  </pic:blipFill>
                  <pic:spPr>
                    <a:xfrm>
                      <a:off x="0" y="0"/>
                      <a:ext cx="8522970" cy="5443220"/>
                    </a:xfrm>
                    <a:prstGeom prst="rect">
                      <a:avLst/>
                    </a:prstGeom>
                    <a:noFill/>
                    <a:ln>
                      <a:noFill/>
                    </a:ln>
                  </pic:spPr>
                </pic:pic>
              </a:graphicData>
            </a:graphic>
          </wp:inline>
        </w:drawing>
      </w:r>
    </w:p>
    <w:p w14:paraId="1453A6A2">
      <w:pPr>
        <w:pStyle w:val="86"/>
        <w:bidi w:val="0"/>
        <w:sectPr>
          <w:pgSz w:w="16838" w:h="11906" w:orient="landscape"/>
          <w:pgMar w:top="1531" w:right="1701" w:bottom="1531" w:left="1701" w:header="851" w:footer="851" w:gutter="0"/>
          <w:cols w:space="720" w:num="1"/>
          <w:docGrid w:linePitch="312" w:charSpace="0"/>
        </w:sectPr>
      </w:pPr>
      <w:r>
        <w:drawing>
          <wp:inline distT="0" distB="0" distL="114300" distR="114300">
            <wp:extent cx="8521065" cy="5155565"/>
            <wp:effectExtent l="0" t="0" r="1333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8521065" cy="5155565"/>
                    </a:xfrm>
                    <a:prstGeom prst="rect">
                      <a:avLst/>
                    </a:prstGeom>
                    <a:noFill/>
                    <a:ln>
                      <a:noFill/>
                    </a:ln>
                  </pic:spPr>
                </pic:pic>
              </a:graphicData>
            </a:graphic>
          </wp:inline>
        </w:drawing>
      </w:r>
    </w:p>
    <w:p w14:paraId="51E12A6E">
      <w:pPr>
        <w:pStyle w:val="86"/>
        <w:bidi w:val="0"/>
      </w:pPr>
      <w:r>
        <w:rPr>
          <w:sz w:val="21"/>
        </w:rPr>
        <mc:AlternateContent>
          <mc:Choice Requires="wps">
            <w:drawing>
              <wp:anchor distT="0" distB="0" distL="114300" distR="114300" simplePos="0" relativeHeight="251662336" behindDoc="0" locked="0" layoutInCell="1" allowOverlap="1">
                <wp:simplePos x="0" y="0"/>
                <wp:positionH relativeFrom="column">
                  <wp:posOffset>4996815</wp:posOffset>
                </wp:positionH>
                <wp:positionV relativeFrom="paragraph">
                  <wp:posOffset>-445135</wp:posOffset>
                </wp:positionV>
                <wp:extent cx="1113790" cy="47498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1536C6">
                            <w:pPr>
                              <w:pStyle w:val="69"/>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35.05pt;height:37.4pt;width:87.7pt;z-index:251662336;mso-width-relative:page;mso-height-relative:page;" filled="f" stroked="f" coordsize="21600,21600" o:gfxdata="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m7K7cAAAACQEAAA8AAAAAAAAAAQAgAAAAIgAA&#10;AGRycy9kb3ducmV2LnhtbFBLAQIUABQAAAAIAIdO4kBYU+M9PQIAAGgEAAAOAAAAAAAAAAEAIAAA&#10;ACsBAABkcnMvZTJvRG9jLnhtbFBLBQYAAAAABgAGAFkBAADaBQAAAAA=&#10;">
                <v:fill on="f" focussize="0,0"/>
                <v:stroke on="f" weight="0.5pt"/>
                <v:imagedata o:title=""/>
                <o:lock v:ext="edit" aspectratio="f"/>
                <v:textbox>
                  <w:txbxContent>
                    <w:p w14:paraId="411536C6">
                      <w:pPr>
                        <w:pStyle w:val="69"/>
                        <w:bidi w:val="0"/>
                      </w:pPr>
                    </w:p>
                  </w:txbxContent>
                </v:textbox>
              </v:shape>
            </w:pict>
          </mc:Fallback>
        </mc:AlternateContent>
      </w:r>
      <w:r>
        <w:rPr>
          <w:rFonts w:hint="eastAsia" w:eastAsia="宋体"/>
          <w:lang w:eastAsia="zh-CN"/>
        </w:rPr>
        <w:drawing>
          <wp:inline distT="0" distB="0" distL="114300" distR="114300">
            <wp:extent cx="5610225" cy="7934325"/>
            <wp:effectExtent l="0" t="0" r="13335" b="5715"/>
            <wp:docPr id="39" name="图片 39" descr="附件(已优化)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附件(已优化)_00"/>
                    <pic:cNvPicPr>
                      <a:picLocks noChangeAspect="1"/>
                    </pic:cNvPicPr>
                  </pic:nvPicPr>
                  <pic:blipFill>
                    <a:blip r:embed="rId41"/>
                    <a:stretch>
                      <a:fillRect/>
                    </a:stretch>
                  </pic:blipFill>
                  <pic:spPr>
                    <a:xfrm>
                      <a:off x="0" y="0"/>
                      <a:ext cx="5610225" cy="7934325"/>
                    </a:xfrm>
                    <a:prstGeom prst="rect">
                      <a:avLst/>
                    </a:prstGeom>
                  </pic:spPr>
                </pic:pic>
              </a:graphicData>
            </a:graphic>
          </wp:inline>
        </w:drawing>
      </w:r>
      <w:r>
        <w:rPr>
          <w:sz w:val="21"/>
        </w:rPr>
        <w:drawing>
          <wp:inline distT="0" distB="0" distL="114300" distR="114300">
            <wp:extent cx="11137265" cy="10073640"/>
            <wp:effectExtent l="0" t="0" r="3175" b="0"/>
            <wp:docPr id="38" name="图片 3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无标题"/>
                    <pic:cNvPicPr>
                      <a:picLocks noChangeAspect="1"/>
                    </pic:cNvPicPr>
                  </pic:nvPicPr>
                  <pic:blipFill>
                    <a:blip r:embed="rId42"/>
                    <a:stretch>
                      <a:fillRect/>
                    </a:stretch>
                  </pic:blipFill>
                  <pic:spPr>
                    <a:xfrm>
                      <a:off x="0" y="0"/>
                      <a:ext cx="11137265" cy="10073640"/>
                    </a:xfrm>
                    <a:prstGeom prst="rect">
                      <a:avLst/>
                    </a:prstGeom>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4996815</wp:posOffset>
                </wp:positionH>
                <wp:positionV relativeFrom="paragraph">
                  <wp:posOffset>-445135</wp:posOffset>
                </wp:positionV>
                <wp:extent cx="1113790" cy="47498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E0035">
                            <w:pPr>
                              <w:pStyle w:val="69"/>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35.05pt;height:37.4pt;width:87.7pt;z-index:251663360;mso-width-relative:page;mso-height-relative:page;" filled="f" stroked="f" coordsize="21600,21600" o:gfxdata="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&#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puyu3AAAAAkBAAAPAAAAAAAAAAEAIAAAACIAAABk&#10;cnMvZG93bnJldi54bWxQSwECFAAUAAAACACHTuJAzSi1tjsCAABoBAAADgAAAAAAAAABACAAAAAr&#10;AQAAZHJzL2Uyb0RvYy54bWxQSwUGAAAAAAYABgBZAQAA2AUAAAAA&#10;">
                <v:fill on="f" focussize="0,0"/>
                <v:stroke on="f" weight="0.5pt"/>
                <v:imagedata o:title=""/>
                <o:lock v:ext="edit" aspectratio="f"/>
                <v:textbox>
                  <w:txbxContent>
                    <w:p w14:paraId="408E0035">
                      <w:pPr>
                        <w:pStyle w:val="69"/>
                        <w:bidi w:val="0"/>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4996815</wp:posOffset>
                </wp:positionH>
                <wp:positionV relativeFrom="paragraph">
                  <wp:posOffset>-445135</wp:posOffset>
                </wp:positionV>
                <wp:extent cx="1113790" cy="47498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FEBE4">
                            <w:pPr>
                              <w:pStyle w:val="69"/>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35.05pt;height:37.4pt;width:87.7pt;z-index:251664384;mso-width-relative:page;mso-height-relative:page;" filled="f" stroked="f" coordsize="21600,21600" o:gfxdata="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&#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qbsrtwAAAAJAQAADwAAAAAAAAABACAAAAAiAAAA&#10;ZHJzL2Rvd25yZXYueG1sUEsBAhQAFAAAAAgAh07iQDOiPvA8AgAAaAQAAA4AAAAAAAAAAQAgAAAA&#10;KwEAAGRycy9lMm9Eb2MueG1sUEsFBgAAAAAGAAYAWQEAANkFAAAAAA==&#10;">
                <v:fill on="f" focussize="0,0"/>
                <v:stroke on="f" weight="0.5pt"/>
                <v:imagedata o:title=""/>
                <o:lock v:ext="edit" aspectratio="f"/>
                <v:textbox>
                  <w:txbxContent>
                    <w:p w14:paraId="685FEBE4">
                      <w:pPr>
                        <w:pStyle w:val="69"/>
                        <w:bidi w:val="0"/>
                      </w:pPr>
                    </w:p>
                  </w:txbxContent>
                </v:textbox>
              </v:shape>
            </w:pict>
          </mc:Fallback>
        </mc:AlternateContent>
      </w:r>
      <w:r>
        <w:rPr>
          <w:rFonts w:hint="eastAsia" w:eastAsia="宋体"/>
          <w:lang w:eastAsia="zh-CN"/>
        </w:rPr>
        <w:drawing>
          <wp:inline distT="0" distB="0" distL="114300" distR="114300">
            <wp:extent cx="5610225" cy="7934325"/>
            <wp:effectExtent l="0" t="0" r="13335" b="5715"/>
            <wp:docPr id="37" name="图片 37" descr="附件(已优化)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件(已优化)_02"/>
                    <pic:cNvPicPr>
                      <a:picLocks noChangeAspect="1"/>
                    </pic:cNvPicPr>
                  </pic:nvPicPr>
                  <pic:blipFill>
                    <a:blip r:embed="rId43"/>
                    <a:stretch>
                      <a:fillRect/>
                    </a:stretch>
                  </pic:blipFill>
                  <pic:spPr>
                    <a:xfrm>
                      <a:off x="0" y="0"/>
                      <a:ext cx="5610225" cy="7934325"/>
                    </a:xfrm>
                    <a:prstGeom prst="rect">
                      <a:avLst/>
                    </a:prstGeom>
                  </pic:spPr>
                </pic:pic>
              </a:graphicData>
            </a:graphic>
          </wp:inline>
        </w:drawing>
      </w:r>
      <w:r>
        <w:rPr>
          <w:sz w:val="21"/>
        </w:rPr>
        <mc:AlternateContent>
          <mc:Choice Requires="wps">
            <w:drawing>
              <wp:anchor distT="0" distB="0" distL="114300" distR="114300" simplePos="0" relativeHeight="251665408" behindDoc="0" locked="0" layoutInCell="1" allowOverlap="1">
                <wp:simplePos x="0" y="0"/>
                <wp:positionH relativeFrom="column">
                  <wp:posOffset>4996815</wp:posOffset>
                </wp:positionH>
                <wp:positionV relativeFrom="paragraph">
                  <wp:posOffset>-445135</wp:posOffset>
                </wp:positionV>
                <wp:extent cx="1113790" cy="47498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7E681">
                            <w:pPr>
                              <w:pStyle w:val="69"/>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35.05pt;height:37.4pt;width:87.7pt;z-index:251665408;mso-width-relative:page;mso-height-relative:page;" filled="f" stroked="f" coordsize="21600,21600" o:gfxdata="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m7K7cAAAACQEAAA8AAAAAAAAAAQAgAAAAIgAA&#10;AGRycy9kb3ducmV2LnhtbFBLAQIUABQAAAAIAIdO4kCm2Wh7PQIAAGgEAAAOAAAAAAAAAAEAIAAA&#10;ACsBAABkcnMvZTJvRG9jLnhtbFBLBQYAAAAABgAGAFkBAADaBQAAAAA=&#10;">
                <v:fill on="f" focussize="0,0"/>
                <v:stroke on="f" weight="0.5pt"/>
                <v:imagedata o:title=""/>
                <o:lock v:ext="edit" aspectratio="f"/>
                <v:textbox>
                  <w:txbxContent>
                    <w:p w14:paraId="7967E681">
                      <w:pPr>
                        <w:pStyle w:val="69"/>
                        <w:bidi w:val="0"/>
                      </w:pPr>
                    </w:p>
                  </w:txbxContent>
                </v:textbox>
              </v:shape>
            </w:pict>
          </mc:Fallback>
        </mc:AlternateContent>
      </w:r>
      <w:r>
        <w:rPr>
          <w:rFonts w:hint="eastAsia" w:eastAsia="宋体"/>
          <w:lang w:eastAsia="zh-CN"/>
        </w:rPr>
        <w:drawing>
          <wp:inline distT="0" distB="0" distL="114300" distR="114300">
            <wp:extent cx="5610225" cy="7934325"/>
            <wp:effectExtent l="0" t="0" r="13335" b="5715"/>
            <wp:docPr id="36" name="图片 36" descr="附件(已优化)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附件(已优化)_03"/>
                    <pic:cNvPicPr>
                      <a:picLocks noChangeAspect="1"/>
                    </pic:cNvPicPr>
                  </pic:nvPicPr>
                  <pic:blipFill>
                    <a:blip r:embed="rId44"/>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35" name="图片 35" descr="附件(已优化)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件(已优化)_04"/>
                    <pic:cNvPicPr>
                      <a:picLocks noChangeAspect="1"/>
                    </pic:cNvPicPr>
                  </pic:nvPicPr>
                  <pic:blipFill>
                    <a:blip r:embed="rId45"/>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34" name="图片 34" descr="附件(已优化)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已优化)_05"/>
                    <pic:cNvPicPr>
                      <a:picLocks noChangeAspect="1"/>
                    </pic:cNvPicPr>
                  </pic:nvPicPr>
                  <pic:blipFill>
                    <a:blip r:embed="rId46"/>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33" name="图片 33" descr="附件(已优化)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已优化)_06"/>
                    <pic:cNvPicPr>
                      <a:picLocks noChangeAspect="1"/>
                    </pic:cNvPicPr>
                  </pic:nvPicPr>
                  <pic:blipFill>
                    <a:blip r:embed="rId47"/>
                    <a:stretch>
                      <a:fillRect/>
                    </a:stretch>
                  </pic:blipFill>
                  <pic:spPr>
                    <a:xfrm>
                      <a:off x="0" y="0"/>
                      <a:ext cx="5610225" cy="7934325"/>
                    </a:xfrm>
                    <a:prstGeom prst="rect">
                      <a:avLst/>
                    </a:prstGeom>
                  </pic:spPr>
                </pic:pic>
              </a:graphicData>
            </a:graphic>
          </wp:inline>
        </w:drawing>
      </w:r>
      <w:r>
        <w:rPr>
          <w:sz w:val="21"/>
        </w:rPr>
        <mc:AlternateContent>
          <mc:Choice Requires="wps">
            <w:drawing>
              <wp:anchor distT="0" distB="0" distL="114300" distR="114300" simplePos="0" relativeHeight="251666432" behindDoc="0" locked="0" layoutInCell="1" allowOverlap="1">
                <wp:simplePos x="0" y="0"/>
                <wp:positionH relativeFrom="column">
                  <wp:posOffset>4996815</wp:posOffset>
                </wp:positionH>
                <wp:positionV relativeFrom="paragraph">
                  <wp:posOffset>-445135</wp:posOffset>
                </wp:positionV>
                <wp:extent cx="1113790" cy="47498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35B3D">
                            <w:pPr>
                              <w:pStyle w:val="69"/>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35.05pt;height:37.4pt;width:87.7pt;z-index:251666432;mso-width-relative:page;mso-height-relative:page;" filled="f" stroked="f" coordsize="21600,21600" o:gfxdata="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&#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qbsrtwAAAAJAQAADwAAAAAAAAABACAAAAAiAAAA&#10;ZHJzL2Rvd25yZXYueG1sUEsBAhQAFAAAAAgAh07iQM+3KX08AgAAaAQAAA4AAAAAAAAAAQAgAAAA&#10;KwEAAGRycy9lMm9Eb2MueG1sUEsFBgAAAAAGAAYAWQEAANkFAAAAAA==&#10;">
                <v:fill on="f" focussize="0,0"/>
                <v:stroke on="f" weight="0.5pt"/>
                <v:imagedata o:title=""/>
                <o:lock v:ext="edit" aspectratio="f"/>
                <v:textbox>
                  <w:txbxContent>
                    <w:p w14:paraId="54135B3D">
                      <w:pPr>
                        <w:pStyle w:val="69"/>
                        <w:bidi w:val="0"/>
                      </w:pPr>
                    </w:p>
                  </w:txbxContent>
                </v:textbox>
              </v:shape>
            </w:pict>
          </mc:Fallback>
        </mc:AlternateContent>
      </w:r>
      <w:r>
        <w:rPr>
          <w:rFonts w:hint="eastAsia" w:eastAsia="宋体"/>
          <w:lang w:eastAsia="zh-CN"/>
        </w:rPr>
        <w:drawing>
          <wp:inline distT="0" distB="0" distL="114300" distR="114300">
            <wp:extent cx="5610225" cy="7934325"/>
            <wp:effectExtent l="0" t="0" r="13335" b="5715"/>
            <wp:docPr id="32" name="图片 32" descr="附件(已优化)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件(已优化)_07"/>
                    <pic:cNvPicPr>
                      <a:picLocks noChangeAspect="1"/>
                    </pic:cNvPicPr>
                  </pic:nvPicPr>
                  <pic:blipFill>
                    <a:blip r:embed="rId48"/>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31" name="图片 31" descr="附件(已优化)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已优化)_08"/>
                    <pic:cNvPicPr>
                      <a:picLocks noChangeAspect="1"/>
                    </pic:cNvPicPr>
                  </pic:nvPicPr>
                  <pic:blipFill>
                    <a:blip r:embed="rId49"/>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30" name="图片 30" descr="附件(已优化)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已优化)_09"/>
                    <pic:cNvPicPr>
                      <a:picLocks noChangeAspect="1"/>
                    </pic:cNvPicPr>
                  </pic:nvPicPr>
                  <pic:blipFill>
                    <a:blip r:embed="rId50"/>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29" name="图片 29" descr="附件(已优化)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已优化)_10"/>
                    <pic:cNvPicPr>
                      <a:picLocks noChangeAspect="1"/>
                    </pic:cNvPicPr>
                  </pic:nvPicPr>
                  <pic:blipFill>
                    <a:blip r:embed="rId51"/>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28" name="图片 28" descr="附件(已优化)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已优化)_11"/>
                    <pic:cNvPicPr>
                      <a:picLocks noChangeAspect="1"/>
                    </pic:cNvPicPr>
                  </pic:nvPicPr>
                  <pic:blipFill>
                    <a:blip r:embed="rId52"/>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27" name="图片 27" descr="附件(已优化)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附件(已优化)_12"/>
                    <pic:cNvPicPr>
                      <a:picLocks noChangeAspect="1"/>
                    </pic:cNvPicPr>
                  </pic:nvPicPr>
                  <pic:blipFill>
                    <a:blip r:embed="rId53"/>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26" name="图片 26" descr="附件(已优化)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附件(已优化)_13"/>
                    <pic:cNvPicPr>
                      <a:picLocks noChangeAspect="1"/>
                    </pic:cNvPicPr>
                  </pic:nvPicPr>
                  <pic:blipFill>
                    <a:blip r:embed="rId54"/>
                    <a:stretch>
                      <a:fillRect/>
                    </a:stretch>
                  </pic:blipFill>
                  <pic:spPr>
                    <a:xfrm>
                      <a:off x="0" y="0"/>
                      <a:ext cx="5610225" cy="7934325"/>
                    </a:xfrm>
                    <a:prstGeom prst="rect">
                      <a:avLst/>
                    </a:prstGeom>
                  </pic:spPr>
                </pic:pic>
              </a:graphicData>
            </a:graphic>
          </wp:inline>
        </w:drawing>
      </w:r>
      <w:bookmarkStart w:id="3" w:name="_GoBack"/>
      <w:r>
        <w:rPr>
          <w:rFonts w:hint="eastAsia" w:eastAsia="宋体"/>
          <w:lang w:eastAsia="zh-CN"/>
        </w:rPr>
        <w:drawing>
          <wp:inline distT="0" distB="0" distL="114300" distR="114300">
            <wp:extent cx="4381500" cy="6200775"/>
            <wp:effectExtent l="0" t="0" r="0" b="9525"/>
            <wp:docPr id="25" name="图片 25" descr="附件(已优化)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件(已优化)_14"/>
                    <pic:cNvPicPr>
                      <a:picLocks noChangeAspect="1"/>
                    </pic:cNvPicPr>
                  </pic:nvPicPr>
                  <pic:blipFill>
                    <a:blip r:embed="rId55"/>
                    <a:stretch>
                      <a:fillRect/>
                    </a:stretch>
                  </pic:blipFill>
                  <pic:spPr>
                    <a:xfrm>
                      <a:off x="0" y="0"/>
                      <a:ext cx="4381500" cy="6200775"/>
                    </a:xfrm>
                    <a:prstGeom prst="rect">
                      <a:avLst/>
                    </a:prstGeom>
                  </pic:spPr>
                </pic:pic>
              </a:graphicData>
            </a:graphic>
          </wp:inline>
        </w:drawing>
      </w:r>
      <w:bookmarkEnd w:id="3"/>
      <w:r>
        <w:rPr>
          <w:sz w:val="21"/>
        </w:rPr>
        <mc:AlternateContent>
          <mc:Choice Requires="wps">
            <w:drawing>
              <wp:anchor distT="0" distB="0" distL="114300" distR="114300" simplePos="0" relativeHeight="251667456" behindDoc="0" locked="0" layoutInCell="1" allowOverlap="1">
                <wp:simplePos x="0" y="0"/>
                <wp:positionH relativeFrom="column">
                  <wp:posOffset>4996815</wp:posOffset>
                </wp:positionH>
                <wp:positionV relativeFrom="paragraph">
                  <wp:posOffset>-445135</wp:posOffset>
                </wp:positionV>
                <wp:extent cx="1113790" cy="47498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81AED">
                            <w:pPr>
                              <w:pStyle w:val="69"/>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35.05pt;height:37.4pt;width:87.7pt;z-index:251667456;mso-width-relative:page;mso-height-relative:page;" filled="f" stroked="f" coordsize="21600,21600" o:gfxdata="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m7K7cAAAACQEAAA8AAAAAAAAAAQAgAAAAIgAA&#10;AGRycy9kb3ducmV2LnhtbFBLAQIUABQAAAAIAIdO4kBazH/2PQIAAGgEAAAOAAAAAAAAAAEAIAAA&#10;ACsBAABkcnMvZTJvRG9jLnhtbFBLBQYAAAAABgAGAFkBAADaBQAAAAA=&#10;">
                <v:fill on="f" focussize="0,0"/>
                <v:stroke on="f" weight="0.5pt"/>
                <v:imagedata o:title=""/>
                <o:lock v:ext="edit" aspectratio="f"/>
                <v:textbox>
                  <w:txbxContent>
                    <w:p w14:paraId="55981AED">
                      <w:pPr>
                        <w:pStyle w:val="69"/>
                        <w:bidi w:val="0"/>
                      </w:pPr>
                    </w:p>
                  </w:txbxContent>
                </v:textbox>
              </v:shape>
            </w:pict>
          </mc:Fallback>
        </mc:AlternateContent>
      </w:r>
      <w:r>
        <w:rPr>
          <w:rFonts w:hint="eastAsia" w:eastAsia="宋体"/>
          <w:lang w:eastAsia="zh-CN"/>
        </w:rPr>
        <w:drawing>
          <wp:inline distT="0" distB="0" distL="114300" distR="114300">
            <wp:extent cx="5610225" cy="7934325"/>
            <wp:effectExtent l="0" t="0" r="13335" b="5715"/>
            <wp:docPr id="24" name="图片 24" descr="附件(已优化)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件(已优化)_15"/>
                    <pic:cNvPicPr>
                      <a:picLocks noChangeAspect="1"/>
                    </pic:cNvPicPr>
                  </pic:nvPicPr>
                  <pic:blipFill>
                    <a:blip r:embed="rId56"/>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23" name="图片 23" descr="附件(已优化)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件(已优化)_16"/>
                    <pic:cNvPicPr>
                      <a:picLocks noChangeAspect="1"/>
                    </pic:cNvPicPr>
                  </pic:nvPicPr>
                  <pic:blipFill>
                    <a:blip r:embed="rId57"/>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22" name="图片 22" descr="附件(已优化)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件(已优化)_17"/>
                    <pic:cNvPicPr>
                      <a:picLocks noChangeAspect="1"/>
                    </pic:cNvPicPr>
                  </pic:nvPicPr>
                  <pic:blipFill>
                    <a:blip r:embed="rId58"/>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21" name="图片 21" descr="附件(已优化)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已优化)_18"/>
                    <pic:cNvPicPr>
                      <a:picLocks noChangeAspect="1"/>
                    </pic:cNvPicPr>
                  </pic:nvPicPr>
                  <pic:blipFill>
                    <a:blip r:embed="rId59"/>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20" name="图片 20" descr="附件(已优化)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件(已优化)_19"/>
                    <pic:cNvPicPr>
                      <a:picLocks noChangeAspect="1"/>
                    </pic:cNvPicPr>
                  </pic:nvPicPr>
                  <pic:blipFill>
                    <a:blip r:embed="rId60"/>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19" name="图片 19" descr="附件(已优化)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已优化)_20"/>
                    <pic:cNvPicPr>
                      <a:picLocks noChangeAspect="1"/>
                    </pic:cNvPicPr>
                  </pic:nvPicPr>
                  <pic:blipFill>
                    <a:blip r:embed="rId61"/>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18" name="图片 18" descr="附件(已优化)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已优化)_21"/>
                    <pic:cNvPicPr>
                      <a:picLocks noChangeAspect="1"/>
                    </pic:cNvPicPr>
                  </pic:nvPicPr>
                  <pic:blipFill>
                    <a:blip r:embed="rId62"/>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16" name="图片 16" descr="附件(已优化)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件(已优化)_22"/>
                    <pic:cNvPicPr>
                      <a:picLocks noChangeAspect="1"/>
                    </pic:cNvPicPr>
                  </pic:nvPicPr>
                  <pic:blipFill>
                    <a:blip r:embed="rId63"/>
                    <a:stretch>
                      <a:fillRect/>
                    </a:stretch>
                  </pic:blipFill>
                  <pic:spPr>
                    <a:xfrm>
                      <a:off x="0" y="0"/>
                      <a:ext cx="5610225" cy="7934325"/>
                    </a:xfrm>
                    <a:prstGeom prst="rect">
                      <a:avLst/>
                    </a:prstGeom>
                  </pic:spPr>
                </pic:pic>
              </a:graphicData>
            </a:graphic>
          </wp:inline>
        </w:drawing>
      </w:r>
      <w:r>
        <w:rPr>
          <w:rFonts w:hint="eastAsia" w:eastAsia="宋体"/>
          <w:lang w:eastAsia="zh-CN"/>
        </w:rPr>
        <w:drawing>
          <wp:inline distT="0" distB="0" distL="114300" distR="114300">
            <wp:extent cx="5610225" cy="7934325"/>
            <wp:effectExtent l="0" t="0" r="13335" b="5715"/>
            <wp:docPr id="15" name="图片 15" descr="附件(已优化)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件(已优化)_23"/>
                    <pic:cNvPicPr>
                      <a:picLocks noChangeAspect="1"/>
                    </pic:cNvPicPr>
                  </pic:nvPicPr>
                  <pic:blipFill>
                    <a:blip r:embed="rId64"/>
                    <a:stretch>
                      <a:fillRect/>
                    </a:stretch>
                  </pic:blipFill>
                  <pic:spPr>
                    <a:xfrm>
                      <a:off x="0" y="0"/>
                      <a:ext cx="5610225" cy="7934325"/>
                    </a:xfrm>
                    <a:prstGeom prst="rect">
                      <a:avLst/>
                    </a:prstGeom>
                  </pic:spPr>
                </pic:pic>
              </a:graphicData>
            </a:graphic>
          </wp:inline>
        </w:drawing>
      </w:r>
      <w:r>
        <w:rPr>
          <w:sz w:val="21"/>
        </w:rPr>
        <mc:AlternateContent>
          <mc:Choice Requires="wps">
            <w:drawing>
              <wp:anchor distT="0" distB="0" distL="114300" distR="114300" simplePos="0" relativeHeight="251668480" behindDoc="0" locked="0" layoutInCell="1" allowOverlap="1">
                <wp:simplePos x="0" y="0"/>
                <wp:positionH relativeFrom="column">
                  <wp:posOffset>4996815</wp:posOffset>
                </wp:positionH>
                <wp:positionV relativeFrom="paragraph">
                  <wp:posOffset>-445135</wp:posOffset>
                </wp:positionV>
                <wp:extent cx="1113790" cy="47498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8EE2B">
                            <w:pPr>
                              <w:pStyle w:val="69"/>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35.05pt;height:37.4pt;width:87.7pt;z-index:251668480;mso-width-relative:page;mso-height-relative:page;" filled="f" stroked="f" coordsize="21600,21600" o:gfxdata="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m7K7cAAAACQEAAA8AAAAAAAAAAQAgAAAAIgAA&#10;AGRycy9kb3ducmV2LnhtbFBLAQIUABQAAAAIAIdO4kCkRvSwPQIAAGgEAAAOAAAAAAAAAAEAIAAA&#10;ACsBAABkcnMvZTJvRG9jLnhtbFBLBQYAAAAABgAGAFkBAADaBQAAAAA=&#10;">
                <v:fill on="f" focussize="0,0"/>
                <v:stroke on="f" weight="0.5pt"/>
                <v:imagedata o:title=""/>
                <o:lock v:ext="edit" aspectratio="f"/>
                <v:textbox>
                  <w:txbxContent>
                    <w:p w14:paraId="7C48EE2B">
                      <w:pPr>
                        <w:pStyle w:val="69"/>
                        <w:bidi w:val="0"/>
                      </w:pPr>
                    </w:p>
                  </w:txbxContent>
                </v:textbox>
              </v:shape>
            </w:pict>
          </mc:Fallback>
        </mc:AlternateContent>
      </w:r>
      <w:r>
        <w:rPr>
          <w:rFonts w:hint="eastAsia" w:eastAsia="宋体"/>
          <w:lang w:eastAsia="zh-CN"/>
        </w:rPr>
        <w:drawing>
          <wp:inline distT="0" distB="0" distL="114300" distR="114300">
            <wp:extent cx="5610225" cy="7929880"/>
            <wp:effectExtent l="0" t="0" r="13335" b="10160"/>
            <wp:docPr id="13" name="图片 13" descr="附件(已优化)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件(已优化)_24"/>
                    <pic:cNvPicPr>
                      <a:picLocks noChangeAspect="1"/>
                    </pic:cNvPicPr>
                  </pic:nvPicPr>
                  <pic:blipFill>
                    <a:blip r:embed="rId65"/>
                    <a:stretch>
                      <a:fillRect/>
                    </a:stretch>
                  </pic:blipFill>
                  <pic:spPr>
                    <a:xfrm>
                      <a:off x="0" y="0"/>
                      <a:ext cx="5610225" cy="7929880"/>
                    </a:xfrm>
                    <a:prstGeom prst="rect">
                      <a:avLst/>
                    </a:prstGeom>
                  </pic:spPr>
                </pic:pic>
              </a:graphicData>
            </a:graphic>
          </wp:inline>
        </w:drawing>
      </w:r>
      <w:r>
        <w:rPr>
          <w:rFonts w:hint="eastAsia" w:eastAsia="宋体"/>
          <w:lang w:eastAsia="zh-CN"/>
        </w:rPr>
        <w:drawing>
          <wp:inline distT="0" distB="0" distL="114300" distR="114300">
            <wp:extent cx="5610225" cy="7929880"/>
            <wp:effectExtent l="0" t="0" r="13335" b="10160"/>
            <wp:docPr id="12" name="图片 12" descr="附件(已优化)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件(已优化)_25"/>
                    <pic:cNvPicPr>
                      <a:picLocks noChangeAspect="1"/>
                    </pic:cNvPicPr>
                  </pic:nvPicPr>
                  <pic:blipFill>
                    <a:blip r:embed="rId66"/>
                    <a:stretch>
                      <a:fillRect/>
                    </a:stretch>
                  </pic:blipFill>
                  <pic:spPr>
                    <a:xfrm>
                      <a:off x="0" y="0"/>
                      <a:ext cx="5610225" cy="7929880"/>
                    </a:xfrm>
                    <a:prstGeom prst="rect">
                      <a:avLst/>
                    </a:prstGeom>
                  </pic:spPr>
                </pic:pic>
              </a:graphicData>
            </a:graphic>
          </wp:inline>
        </w:drawing>
      </w:r>
      <w:r>
        <w:rPr>
          <w:rFonts w:hint="eastAsia" w:eastAsia="宋体"/>
          <w:lang w:eastAsia="zh-CN"/>
        </w:rPr>
        <w:drawing>
          <wp:inline distT="0" distB="0" distL="114300" distR="114300">
            <wp:extent cx="5610225" cy="7929880"/>
            <wp:effectExtent l="0" t="0" r="13335" b="10160"/>
            <wp:docPr id="11" name="图片 11" descr="附件(已优化)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已优化)_26"/>
                    <pic:cNvPicPr>
                      <a:picLocks noChangeAspect="1"/>
                    </pic:cNvPicPr>
                  </pic:nvPicPr>
                  <pic:blipFill>
                    <a:blip r:embed="rId67"/>
                    <a:stretch>
                      <a:fillRect/>
                    </a:stretch>
                  </pic:blipFill>
                  <pic:spPr>
                    <a:xfrm>
                      <a:off x="0" y="0"/>
                      <a:ext cx="5610225" cy="7929880"/>
                    </a:xfrm>
                    <a:prstGeom prst="rect">
                      <a:avLst/>
                    </a:prstGeom>
                  </pic:spPr>
                </pic:pic>
              </a:graphicData>
            </a:graphic>
          </wp:inline>
        </w:drawing>
      </w:r>
      <w:r>
        <w:rPr>
          <w:rFonts w:hint="eastAsia" w:eastAsia="宋体"/>
          <w:lang w:eastAsia="zh-CN"/>
        </w:rPr>
        <w:drawing>
          <wp:inline distT="0" distB="0" distL="114300" distR="114300">
            <wp:extent cx="5610225" cy="7929880"/>
            <wp:effectExtent l="0" t="0" r="13335" b="10160"/>
            <wp:docPr id="10" name="图片 10" descr="附件(已优化)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已优化)_27"/>
                    <pic:cNvPicPr>
                      <a:picLocks noChangeAspect="1"/>
                    </pic:cNvPicPr>
                  </pic:nvPicPr>
                  <pic:blipFill>
                    <a:blip r:embed="rId68"/>
                    <a:stretch>
                      <a:fillRect/>
                    </a:stretch>
                  </pic:blipFill>
                  <pic:spPr>
                    <a:xfrm>
                      <a:off x="0" y="0"/>
                      <a:ext cx="5610225" cy="7929880"/>
                    </a:xfrm>
                    <a:prstGeom prst="rect">
                      <a:avLst/>
                    </a:prstGeom>
                  </pic:spPr>
                </pic:pic>
              </a:graphicData>
            </a:graphic>
          </wp:inline>
        </w:drawing>
      </w:r>
      <w:r>
        <w:rPr>
          <w:rFonts w:hint="eastAsia" w:eastAsia="宋体"/>
          <w:lang w:eastAsia="zh-CN"/>
        </w:rPr>
        <w:drawing>
          <wp:inline distT="0" distB="0" distL="114300" distR="114300">
            <wp:extent cx="5610225" cy="7929880"/>
            <wp:effectExtent l="0" t="0" r="13335" b="10160"/>
            <wp:docPr id="9" name="图片 9" descr="附件(已优化)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已优化)_28"/>
                    <pic:cNvPicPr>
                      <a:picLocks noChangeAspect="1"/>
                    </pic:cNvPicPr>
                  </pic:nvPicPr>
                  <pic:blipFill>
                    <a:blip r:embed="rId69"/>
                    <a:stretch>
                      <a:fillRect/>
                    </a:stretch>
                  </pic:blipFill>
                  <pic:spPr>
                    <a:xfrm>
                      <a:off x="0" y="0"/>
                      <a:ext cx="5610225" cy="7929880"/>
                    </a:xfrm>
                    <a:prstGeom prst="rect">
                      <a:avLst/>
                    </a:prstGeom>
                  </pic:spPr>
                </pic:pic>
              </a:graphicData>
            </a:graphic>
          </wp:inline>
        </w:drawing>
      </w:r>
      <w:r>
        <w:rPr>
          <w:rFonts w:hint="eastAsia" w:eastAsia="宋体"/>
          <w:lang w:eastAsia="zh-CN"/>
        </w:rPr>
        <w:drawing>
          <wp:inline distT="0" distB="0" distL="114300" distR="114300">
            <wp:extent cx="5610225" cy="7929880"/>
            <wp:effectExtent l="0" t="0" r="13335" b="10160"/>
            <wp:docPr id="8" name="图片 8" descr="附件(已优化)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已优化)_29"/>
                    <pic:cNvPicPr>
                      <a:picLocks noChangeAspect="1"/>
                    </pic:cNvPicPr>
                  </pic:nvPicPr>
                  <pic:blipFill>
                    <a:blip r:embed="rId70"/>
                    <a:stretch>
                      <a:fillRect/>
                    </a:stretch>
                  </pic:blipFill>
                  <pic:spPr>
                    <a:xfrm>
                      <a:off x="0" y="0"/>
                      <a:ext cx="5610225" cy="7929880"/>
                    </a:xfrm>
                    <a:prstGeom prst="rect">
                      <a:avLst/>
                    </a:prstGeom>
                  </pic:spPr>
                </pic:pic>
              </a:graphicData>
            </a:graphic>
          </wp:inline>
        </w:drawing>
      </w:r>
      <w:r>
        <w:rPr>
          <w:sz w:val="21"/>
        </w:rPr>
        <mc:AlternateContent>
          <mc:Choice Requires="wps">
            <w:drawing>
              <wp:anchor distT="0" distB="0" distL="114300" distR="114300" simplePos="0" relativeHeight="251669504" behindDoc="0" locked="0" layoutInCell="1" allowOverlap="1">
                <wp:simplePos x="0" y="0"/>
                <wp:positionH relativeFrom="column">
                  <wp:posOffset>4996815</wp:posOffset>
                </wp:positionH>
                <wp:positionV relativeFrom="paragraph">
                  <wp:posOffset>-445135</wp:posOffset>
                </wp:positionV>
                <wp:extent cx="1113790" cy="47498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1137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D7550">
                            <w:pPr>
                              <w:pStyle w:val="69"/>
                              <w:bidi w:val="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5pt;margin-top:-35.05pt;height:37.4pt;width:87.7pt;z-index:251669504;mso-width-relative:page;mso-height-relative:page;" filled="f" stroked="f" coordsize="21600,21600" o:gfxdata="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m7K7cAAAACQEAAA8AAAAAAAAAAQAgAAAAIgAA&#10;AGRycy9kb3ducmV2LnhtbFBLAQIUABQAAAAIAIdO4kAxPaI7PQIAAGgEAAAOAAAAAAAAAAEAIAAA&#10;ACsBAABkcnMvZTJvRG9jLnhtbFBLBQYAAAAABgAGAFkBAADaBQAAAAA=&#10;">
                <v:fill on="f" focussize="0,0"/>
                <v:stroke on="f" weight="0.5pt"/>
                <v:imagedata o:title=""/>
                <o:lock v:ext="edit" aspectratio="f"/>
                <v:textbox>
                  <w:txbxContent>
                    <w:p w14:paraId="4B8D7550">
                      <w:pPr>
                        <w:pStyle w:val="69"/>
                        <w:bidi w:val="0"/>
                      </w:pPr>
                    </w:p>
                  </w:txbxContent>
                </v:textbox>
              </v:shape>
            </w:pict>
          </mc:Fallback>
        </mc:AlternateContent>
      </w:r>
      <w:r>
        <w:rPr>
          <w:rFonts w:hint="eastAsia" w:eastAsia="宋体"/>
          <w:lang w:eastAsia="zh-CN"/>
        </w:rPr>
        <w:drawing>
          <wp:inline distT="0" distB="0" distL="114300" distR="114300">
            <wp:extent cx="5610225" cy="7934325"/>
            <wp:effectExtent l="0" t="0" r="13335" b="5715"/>
            <wp:docPr id="4" name="图片 4" descr="附件(已优化)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已优化)_30"/>
                    <pic:cNvPicPr>
                      <a:picLocks noChangeAspect="1"/>
                    </pic:cNvPicPr>
                  </pic:nvPicPr>
                  <pic:blipFill>
                    <a:blip r:embed="rId71"/>
                    <a:stretch>
                      <a:fillRect/>
                    </a:stretch>
                  </pic:blipFill>
                  <pic:spPr>
                    <a:xfrm>
                      <a:off x="0" y="0"/>
                      <a:ext cx="5610225" cy="7934325"/>
                    </a:xfrm>
                    <a:prstGeom prst="rect">
                      <a:avLst/>
                    </a:prstGeom>
                  </pic:spPr>
                </pic:pic>
              </a:graphicData>
            </a:graphic>
          </wp:inline>
        </w:drawing>
      </w: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7882DE-9F20-4CF0-A29F-4C7FE4C4245D}"/>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433CB1B-3C8D-4AD1-AEEA-A34B936692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1383B4B-E0FC-436D-9109-B906153CC5D3}"/>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Wingdings 2">
    <w:panose1 w:val="05020102010507070707"/>
    <w:charset w:val="02"/>
    <w:family w:val="roman"/>
    <w:pitch w:val="default"/>
    <w:sig w:usb0="00000000" w:usb1="00000000" w:usb2="00000000" w:usb3="00000000" w:csb0="80000000" w:csb1="00000000"/>
    <w:embedRegular r:id="rId4" w:fontKey="{D9DC59FE-F538-415B-848D-C5FCF4165C3F}"/>
  </w:font>
  <w:font w:name="Segoe UI Symbol">
    <w:panose1 w:val="020B0502040204020203"/>
    <w:charset w:val="00"/>
    <w:family w:val="swiss"/>
    <w:pitch w:val="default"/>
    <w:sig w:usb0="800001E3" w:usb1="1200FFEF" w:usb2="00040000" w:usb3="04000000" w:csb0="00000001" w:csb1="40000000"/>
    <w:embedRegular r:id="rId5" w:fontKey="{2A8E6587-C0BE-44C8-A705-09E7C69DE193}"/>
  </w:font>
  <w:font w:name="Cambria Math">
    <w:panose1 w:val="02040503050406030204"/>
    <w:charset w:val="00"/>
    <w:family w:val="roman"/>
    <w:pitch w:val="default"/>
    <w:sig w:usb0="E00006FF" w:usb1="420024FF" w:usb2="02000000" w:usb3="00000000" w:csb0="2000019F" w:csb1="00000000"/>
    <w:embedRegular r:id="rId6" w:fontKey="{7C0AAC56-F424-48A4-BA2F-81BC0FEA956E}"/>
  </w:font>
  <w:font w:name="方正小标宋_GBK">
    <w:panose1 w:val="02000000000000000000"/>
    <w:charset w:val="86"/>
    <w:family w:val="script"/>
    <w:pitch w:val="default"/>
    <w:sig w:usb0="A00002BF" w:usb1="38CF7CFA" w:usb2="00082016" w:usb3="00000000" w:csb0="00040001" w:csb1="00000000"/>
    <w:embedRegular r:id="rId7" w:fontKey="{0409AFC9-A6ED-4A13-A1E2-5B5A311BE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81797"/>
    </w:sdtPr>
    <w:sdtContent>
      <w:p w14:paraId="6FBF6732">
        <w:pPr>
          <w:pStyle w:val="12"/>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19746">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2516E">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6190B">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31F24B"/>
    <w:multiLevelType w:val="singleLevel"/>
    <w:tmpl w:val="B831F24B"/>
    <w:lvl w:ilvl="0" w:tentative="0">
      <w:start w:val="1"/>
      <w:numFmt w:val="chineseCounting"/>
      <w:pStyle w:val="69"/>
      <w:suff w:val="nothing"/>
      <w:lvlText w:val="附件%1"/>
      <w:lvlJc w:val="left"/>
      <w:pPr>
        <w:ind w:left="0" w:firstLine="0"/>
      </w:pPr>
      <w:rPr>
        <w:rFonts w:hint="eastAsia"/>
      </w:rPr>
    </w:lvl>
  </w:abstractNum>
  <w:abstractNum w:abstractNumId="1">
    <w:nsid w:val="345F6C55"/>
    <w:multiLevelType w:val="multilevel"/>
    <w:tmpl w:val="345F6C55"/>
    <w:lvl w:ilvl="0" w:tentative="0">
      <w:start w:val="1"/>
      <w:numFmt w:val="decimal"/>
      <w:pStyle w:val="67"/>
      <w:lvlText w:val="表%1"/>
      <w:lvlJc w:val="left"/>
      <w:pPr>
        <w:ind w:left="1240" w:hanging="440"/>
      </w:pPr>
      <w:rPr>
        <w:rFonts w:hint="default" w:ascii="Times New Roman" w:hAnsi="Times New Roman" w:eastAsia="黑体"/>
        <w:b w:val="0"/>
        <w:i w:val="0"/>
        <w:sz w:val="24"/>
        <w:lang w:val="en-US"/>
      </w:rPr>
    </w:lvl>
    <w:lvl w:ilvl="1" w:tentative="0">
      <w:start w:val="1"/>
      <w:numFmt w:val="lowerLetter"/>
      <w:lvlText w:val="%2)"/>
      <w:lvlJc w:val="left"/>
      <w:pPr>
        <w:ind w:left="1309" w:hanging="440"/>
      </w:pPr>
    </w:lvl>
    <w:lvl w:ilvl="2" w:tentative="0">
      <w:start w:val="1"/>
      <w:numFmt w:val="lowerRoman"/>
      <w:lvlText w:val="%3."/>
      <w:lvlJc w:val="right"/>
      <w:pPr>
        <w:ind w:left="1749" w:hanging="440"/>
      </w:pPr>
    </w:lvl>
    <w:lvl w:ilvl="3" w:tentative="0">
      <w:start w:val="1"/>
      <w:numFmt w:val="decimal"/>
      <w:lvlText w:val="%4."/>
      <w:lvlJc w:val="left"/>
      <w:pPr>
        <w:ind w:left="2189" w:hanging="440"/>
      </w:pPr>
    </w:lvl>
    <w:lvl w:ilvl="4" w:tentative="0">
      <w:start w:val="1"/>
      <w:numFmt w:val="lowerLetter"/>
      <w:lvlText w:val="%5)"/>
      <w:lvlJc w:val="left"/>
      <w:pPr>
        <w:ind w:left="2629" w:hanging="440"/>
      </w:pPr>
    </w:lvl>
    <w:lvl w:ilvl="5" w:tentative="0">
      <w:start w:val="1"/>
      <w:numFmt w:val="lowerRoman"/>
      <w:lvlText w:val="%6."/>
      <w:lvlJc w:val="right"/>
      <w:pPr>
        <w:ind w:left="3069" w:hanging="440"/>
      </w:pPr>
    </w:lvl>
    <w:lvl w:ilvl="6" w:tentative="0">
      <w:start w:val="1"/>
      <w:numFmt w:val="decimal"/>
      <w:lvlText w:val="%7."/>
      <w:lvlJc w:val="left"/>
      <w:pPr>
        <w:ind w:left="3509" w:hanging="440"/>
      </w:pPr>
    </w:lvl>
    <w:lvl w:ilvl="7" w:tentative="0">
      <w:start w:val="1"/>
      <w:numFmt w:val="lowerLetter"/>
      <w:lvlText w:val="%8)"/>
      <w:lvlJc w:val="left"/>
      <w:pPr>
        <w:ind w:left="3949" w:hanging="440"/>
      </w:pPr>
    </w:lvl>
    <w:lvl w:ilvl="8" w:tentative="0">
      <w:start w:val="1"/>
      <w:numFmt w:val="lowerRoman"/>
      <w:lvlText w:val="%9."/>
      <w:lvlJc w:val="right"/>
      <w:pPr>
        <w:ind w:left="4389"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zMWU1Yjc3Zjk2ZWFmZGI1YTEzNTM0NTM2NDNmNWUifQ=="/>
  </w:docVars>
  <w:rsids>
    <w:rsidRoot w:val="00A14947"/>
    <w:rsid w:val="00000037"/>
    <w:rsid w:val="0000011F"/>
    <w:rsid w:val="00000979"/>
    <w:rsid w:val="00000B2F"/>
    <w:rsid w:val="00000DA6"/>
    <w:rsid w:val="00001370"/>
    <w:rsid w:val="000014B8"/>
    <w:rsid w:val="0000190D"/>
    <w:rsid w:val="000022CF"/>
    <w:rsid w:val="0000292C"/>
    <w:rsid w:val="00002DF7"/>
    <w:rsid w:val="000033BB"/>
    <w:rsid w:val="000035F4"/>
    <w:rsid w:val="00003C19"/>
    <w:rsid w:val="00004318"/>
    <w:rsid w:val="00004487"/>
    <w:rsid w:val="00004F3D"/>
    <w:rsid w:val="0000502C"/>
    <w:rsid w:val="000056D1"/>
    <w:rsid w:val="00005A90"/>
    <w:rsid w:val="00005EF6"/>
    <w:rsid w:val="000060B3"/>
    <w:rsid w:val="0000627E"/>
    <w:rsid w:val="00006681"/>
    <w:rsid w:val="00006822"/>
    <w:rsid w:val="00006896"/>
    <w:rsid w:val="000068BA"/>
    <w:rsid w:val="000069E3"/>
    <w:rsid w:val="00007349"/>
    <w:rsid w:val="0000759F"/>
    <w:rsid w:val="000076E2"/>
    <w:rsid w:val="000079B5"/>
    <w:rsid w:val="00007AF7"/>
    <w:rsid w:val="00007C10"/>
    <w:rsid w:val="00010038"/>
    <w:rsid w:val="00010213"/>
    <w:rsid w:val="00010278"/>
    <w:rsid w:val="000102FA"/>
    <w:rsid w:val="000103F2"/>
    <w:rsid w:val="0001057A"/>
    <w:rsid w:val="00010A4E"/>
    <w:rsid w:val="00010A75"/>
    <w:rsid w:val="00010B67"/>
    <w:rsid w:val="00010F94"/>
    <w:rsid w:val="00011114"/>
    <w:rsid w:val="000112E5"/>
    <w:rsid w:val="00011C7E"/>
    <w:rsid w:val="00011EC9"/>
    <w:rsid w:val="00012153"/>
    <w:rsid w:val="000121F8"/>
    <w:rsid w:val="0001232C"/>
    <w:rsid w:val="00012792"/>
    <w:rsid w:val="00013986"/>
    <w:rsid w:val="00013BEA"/>
    <w:rsid w:val="00014305"/>
    <w:rsid w:val="00014431"/>
    <w:rsid w:val="00014A60"/>
    <w:rsid w:val="00014CF3"/>
    <w:rsid w:val="00014EB2"/>
    <w:rsid w:val="00015172"/>
    <w:rsid w:val="00015908"/>
    <w:rsid w:val="00015B93"/>
    <w:rsid w:val="000161FF"/>
    <w:rsid w:val="00016675"/>
    <w:rsid w:val="000168E0"/>
    <w:rsid w:val="00017103"/>
    <w:rsid w:val="00017A9F"/>
    <w:rsid w:val="00017DE1"/>
    <w:rsid w:val="00017E75"/>
    <w:rsid w:val="00017EB2"/>
    <w:rsid w:val="00020254"/>
    <w:rsid w:val="000203D3"/>
    <w:rsid w:val="00020AA1"/>
    <w:rsid w:val="00021624"/>
    <w:rsid w:val="00021E3A"/>
    <w:rsid w:val="0002211F"/>
    <w:rsid w:val="000222F9"/>
    <w:rsid w:val="0002271E"/>
    <w:rsid w:val="0002329D"/>
    <w:rsid w:val="00023601"/>
    <w:rsid w:val="000238F1"/>
    <w:rsid w:val="00023B0C"/>
    <w:rsid w:val="00023BE1"/>
    <w:rsid w:val="0002430F"/>
    <w:rsid w:val="00024410"/>
    <w:rsid w:val="00024532"/>
    <w:rsid w:val="0002472B"/>
    <w:rsid w:val="00024CC0"/>
    <w:rsid w:val="00025051"/>
    <w:rsid w:val="000251EF"/>
    <w:rsid w:val="000252B1"/>
    <w:rsid w:val="000254B8"/>
    <w:rsid w:val="000255D7"/>
    <w:rsid w:val="00026BC3"/>
    <w:rsid w:val="00026C6F"/>
    <w:rsid w:val="00027089"/>
    <w:rsid w:val="000270DD"/>
    <w:rsid w:val="00027EF0"/>
    <w:rsid w:val="0003066E"/>
    <w:rsid w:val="000309FD"/>
    <w:rsid w:val="000314BD"/>
    <w:rsid w:val="00031E1F"/>
    <w:rsid w:val="00031F76"/>
    <w:rsid w:val="00032010"/>
    <w:rsid w:val="00032204"/>
    <w:rsid w:val="00032245"/>
    <w:rsid w:val="000325C2"/>
    <w:rsid w:val="0003289D"/>
    <w:rsid w:val="000329B3"/>
    <w:rsid w:val="00032E7E"/>
    <w:rsid w:val="00032E93"/>
    <w:rsid w:val="00032F9B"/>
    <w:rsid w:val="000332B9"/>
    <w:rsid w:val="0003381C"/>
    <w:rsid w:val="000339ED"/>
    <w:rsid w:val="00033D1F"/>
    <w:rsid w:val="00033EC5"/>
    <w:rsid w:val="00033FA5"/>
    <w:rsid w:val="00034CA4"/>
    <w:rsid w:val="000353B3"/>
    <w:rsid w:val="00035916"/>
    <w:rsid w:val="00035A41"/>
    <w:rsid w:val="00035F65"/>
    <w:rsid w:val="00036432"/>
    <w:rsid w:val="00036537"/>
    <w:rsid w:val="00036BD2"/>
    <w:rsid w:val="00036C30"/>
    <w:rsid w:val="00037115"/>
    <w:rsid w:val="000371C8"/>
    <w:rsid w:val="00037212"/>
    <w:rsid w:val="00037473"/>
    <w:rsid w:val="0003770D"/>
    <w:rsid w:val="00037933"/>
    <w:rsid w:val="00037A6E"/>
    <w:rsid w:val="00037F80"/>
    <w:rsid w:val="000401D8"/>
    <w:rsid w:val="000401E8"/>
    <w:rsid w:val="000403AB"/>
    <w:rsid w:val="00040A0C"/>
    <w:rsid w:val="00041413"/>
    <w:rsid w:val="00041ACD"/>
    <w:rsid w:val="00041C01"/>
    <w:rsid w:val="00041C06"/>
    <w:rsid w:val="00041D89"/>
    <w:rsid w:val="0004202C"/>
    <w:rsid w:val="000420F9"/>
    <w:rsid w:val="000431A8"/>
    <w:rsid w:val="0004364B"/>
    <w:rsid w:val="000436E7"/>
    <w:rsid w:val="00043B6F"/>
    <w:rsid w:val="00043F73"/>
    <w:rsid w:val="000442E4"/>
    <w:rsid w:val="000449AE"/>
    <w:rsid w:val="00044CC2"/>
    <w:rsid w:val="00044D05"/>
    <w:rsid w:val="00045242"/>
    <w:rsid w:val="0004557B"/>
    <w:rsid w:val="000457EB"/>
    <w:rsid w:val="00045ADC"/>
    <w:rsid w:val="00045B2F"/>
    <w:rsid w:val="000463DC"/>
    <w:rsid w:val="000465C4"/>
    <w:rsid w:val="000466F9"/>
    <w:rsid w:val="0004724A"/>
    <w:rsid w:val="00047A8A"/>
    <w:rsid w:val="00047B64"/>
    <w:rsid w:val="00047CA7"/>
    <w:rsid w:val="00047F84"/>
    <w:rsid w:val="000500B4"/>
    <w:rsid w:val="0005027A"/>
    <w:rsid w:val="00051048"/>
    <w:rsid w:val="000510BF"/>
    <w:rsid w:val="000515BA"/>
    <w:rsid w:val="000516B0"/>
    <w:rsid w:val="0005283E"/>
    <w:rsid w:val="0005290D"/>
    <w:rsid w:val="0005292C"/>
    <w:rsid w:val="000529CD"/>
    <w:rsid w:val="00052AEC"/>
    <w:rsid w:val="00052C95"/>
    <w:rsid w:val="00053319"/>
    <w:rsid w:val="0005345A"/>
    <w:rsid w:val="00053491"/>
    <w:rsid w:val="00053E7C"/>
    <w:rsid w:val="000541D0"/>
    <w:rsid w:val="000544BD"/>
    <w:rsid w:val="000545E2"/>
    <w:rsid w:val="000546E0"/>
    <w:rsid w:val="00054736"/>
    <w:rsid w:val="00054854"/>
    <w:rsid w:val="00054B5C"/>
    <w:rsid w:val="00055028"/>
    <w:rsid w:val="000552B0"/>
    <w:rsid w:val="000553CB"/>
    <w:rsid w:val="00055841"/>
    <w:rsid w:val="0005590A"/>
    <w:rsid w:val="000559C4"/>
    <w:rsid w:val="00055A34"/>
    <w:rsid w:val="00056185"/>
    <w:rsid w:val="000564CC"/>
    <w:rsid w:val="000565C9"/>
    <w:rsid w:val="0005693E"/>
    <w:rsid w:val="00056E0D"/>
    <w:rsid w:val="0005706E"/>
    <w:rsid w:val="00057220"/>
    <w:rsid w:val="000573D5"/>
    <w:rsid w:val="000577D0"/>
    <w:rsid w:val="00057EAC"/>
    <w:rsid w:val="00057FB9"/>
    <w:rsid w:val="0006053B"/>
    <w:rsid w:val="000610B2"/>
    <w:rsid w:val="000613DB"/>
    <w:rsid w:val="00061B1F"/>
    <w:rsid w:val="00061CB6"/>
    <w:rsid w:val="00061F47"/>
    <w:rsid w:val="00062366"/>
    <w:rsid w:val="00063098"/>
    <w:rsid w:val="0006331B"/>
    <w:rsid w:val="00063486"/>
    <w:rsid w:val="00063584"/>
    <w:rsid w:val="0006359B"/>
    <w:rsid w:val="000639E2"/>
    <w:rsid w:val="00063C11"/>
    <w:rsid w:val="00063D5F"/>
    <w:rsid w:val="00063D99"/>
    <w:rsid w:val="00063DDC"/>
    <w:rsid w:val="00063FF6"/>
    <w:rsid w:val="00064217"/>
    <w:rsid w:val="00064254"/>
    <w:rsid w:val="0006469F"/>
    <w:rsid w:val="00064E99"/>
    <w:rsid w:val="00065383"/>
    <w:rsid w:val="0006588F"/>
    <w:rsid w:val="00066286"/>
    <w:rsid w:val="00066405"/>
    <w:rsid w:val="00066616"/>
    <w:rsid w:val="00066788"/>
    <w:rsid w:val="000667CA"/>
    <w:rsid w:val="0006682A"/>
    <w:rsid w:val="00066854"/>
    <w:rsid w:val="00066BF0"/>
    <w:rsid w:val="0006750B"/>
    <w:rsid w:val="000677E8"/>
    <w:rsid w:val="00067913"/>
    <w:rsid w:val="00067B2E"/>
    <w:rsid w:val="00067F49"/>
    <w:rsid w:val="0007031B"/>
    <w:rsid w:val="00070337"/>
    <w:rsid w:val="00070784"/>
    <w:rsid w:val="000707BC"/>
    <w:rsid w:val="00072360"/>
    <w:rsid w:val="00072696"/>
    <w:rsid w:val="00072852"/>
    <w:rsid w:val="000728A2"/>
    <w:rsid w:val="00072C07"/>
    <w:rsid w:val="00072E88"/>
    <w:rsid w:val="0007308B"/>
    <w:rsid w:val="00073396"/>
    <w:rsid w:val="000733C4"/>
    <w:rsid w:val="00073517"/>
    <w:rsid w:val="00073AD2"/>
    <w:rsid w:val="0007401F"/>
    <w:rsid w:val="0007470D"/>
    <w:rsid w:val="00074746"/>
    <w:rsid w:val="00074783"/>
    <w:rsid w:val="00074C6F"/>
    <w:rsid w:val="00074D01"/>
    <w:rsid w:val="000754B9"/>
    <w:rsid w:val="00075C0F"/>
    <w:rsid w:val="00075E44"/>
    <w:rsid w:val="00075F45"/>
    <w:rsid w:val="00076370"/>
    <w:rsid w:val="0007666F"/>
    <w:rsid w:val="00076B02"/>
    <w:rsid w:val="000770DE"/>
    <w:rsid w:val="000772B3"/>
    <w:rsid w:val="00077477"/>
    <w:rsid w:val="00077522"/>
    <w:rsid w:val="00077864"/>
    <w:rsid w:val="000779A8"/>
    <w:rsid w:val="00077BCF"/>
    <w:rsid w:val="00077D3E"/>
    <w:rsid w:val="00077E3E"/>
    <w:rsid w:val="000802B4"/>
    <w:rsid w:val="00080322"/>
    <w:rsid w:val="0008070B"/>
    <w:rsid w:val="00080A90"/>
    <w:rsid w:val="00080AAF"/>
    <w:rsid w:val="00080E24"/>
    <w:rsid w:val="000810AC"/>
    <w:rsid w:val="0008189F"/>
    <w:rsid w:val="00081A02"/>
    <w:rsid w:val="00081B37"/>
    <w:rsid w:val="00081BF9"/>
    <w:rsid w:val="00081FF5"/>
    <w:rsid w:val="00082231"/>
    <w:rsid w:val="0008240E"/>
    <w:rsid w:val="000825B5"/>
    <w:rsid w:val="00082A36"/>
    <w:rsid w:val="00082ABA"/>
    <w:rsid w:val="0008355F"/>
    <w:rsid w:val="000835A3"/>
    <w:rsid w:val="000836E2"/>
    <w:rsid w:val="00084141"/>
    <w:rsid w:val="000844CF"/>
    <w:rsid w:val="0008551A"/>
    <w:rsid w:val="00085707"/>
    <w:rsid w:val="0008595A"/>
    <w:rsid w:val="0008596A"/>
    <w:rsid w:val="00085A7D"/>
    <w:rsid w:val="000862AB"/>
    <w:rsid w:val="00086739"/>
    <w:rsid w:val="00086C20"/>
    <w:rsid w:val="00086C8E"/>
    <w:rsid w:val="00086ED8"/>
    <w:rsid w:val="00087138"/>
    <w:rsid w:val="0008781B"/>
    <w:rsid w:val="00087AB4"/>
    <w:rsid w:val="00087D4E"/>
    <w:rsid w:val="00087D73"/>
    <w:rsid w:val="00090227"/>
    <w:rsid w:val="00090426"/>
    <w:rsid w:val="000906BC"/>
    <w:rsid w:val="0009076E"/>
    <w:rsid w:val="00090BF3"/>
    <w:rsid w:val="00090C19"/>
    <w:rsid w:val="00090E9D"/>
    <w:rsid w:val="00090F6F"/>
    <w:rsid w:val="00091180"/>
    <w:rsid w:val="0009163C"/>
    <w:rsid w:val="00091BAA"/>
    <w:rsid w:val="00091BB8"/>
    <w:rsid w:val="000921E3"/>
    <w:rsid w:val="000925A8"/>
    <w:rsid w:val="00092D38"/>
    <w:rsid w:val="000931F8"/>
    <w:rsid w:val="0009369D"/>
    <w:rsid w:val="0009376C"/>
    <w:rsid w:val="0009377B"/>
    <w:rsid w:val="00093E2B"/>
    <w:rsid w:val="0009410D"/>
    <w:rsid w:val="000943C5"/>
    <w:rsid w:val="0009479D"/>
    <w:rsid w:val="000947FC"/>
    <w:rsid w:val="00094E82"/>
    <w:rsid w:val="00095F7A"/>
    <w:rsid w:val="0009624A"/>
    <w:rsid w:val="000964CB"/>
    <w:rsid w:val="000A0346"/>
    <w:rsid w:val="000A0519"/>
    <w:rsid w:val="000A05A5"/>
    <w:rsid w:val="000A08E2"/>
    <w:rsid w:val="000A0A4A"/>
    <w:rsid w:val="000A0D1E"/>
    <w:rsid w:val="000A1213"/>
    <w:rsid w:val="000A142D"/>
    <w:rsid w:val="000A1925"/>
    <w:rsid w:val="000A1AD5"/>
    <w:rsid w:val="000A20C9"/>
    <w:rsid w:val="000A2317"/>
    <w:rsid w:val="000A2399"/>
    <w:rsid w:val="000A2500"/>
    <w:rsid w:val="000A28FE"/>
    <w:rsid w:val="000A2A54"/>
    <w:rsid w:val="000A2E1A"/>
    <w:rsid w:val="000A2FDE"/>
    <w:rsid w:val="000A3A8B"/>
    <w:rsid w:val="000A3BA0"/>
    <w:rsid w:val="000A4595"/>
    <w:rsid w:val="000A52D2"/>
    <w:rsid w:val="000A5849"/>
    <w:rsid w:val="000A5B9F"/>
    <w:rsid w:val="000A5FB7"/>
    <w:rsid w:val="000A64F6"/>
    <w:rsid w:val="000A6A50"/>
    <w:rsid w:val="000A6A62"/>
    <w:rsid w:val="000A72FF"/>
    <w:rsid w:val="000A761D"/>
    <w:rsid w:val="000A769A"/>
    <w:rsid w:val="000B02A1"/>
    <w:rsid w:val="000B02B9"/>
    <w:rsid w:val="000B02EC"/>
    <w:rsid w:val="000B058F"/>
    <w:rsid w:val="000B06A0"/>
    <w:rsid w:val="000B06B4"/>
    <w:rsid w:val="000B0B2C"/>
    <w:rsid w:val="000B0F64"/>
    <w:rsid w:val="000B1170"/>
    <w:rsid w:val="000B20E8"/>
    <w:rsid w:val="000B216E"/>
    <w:rsid w:val="000B226C"/>
    <w:rsid w:val="000B29D7"/>
    <w:rsid w:val="000B32FF"/>
    <w:rsid w:val="000B35E0"/>
    <w:rsid w:val="000B3856"/>
    <w:rsid w:val="000B39A2"/>
    <w:rsid w:val="000B4467"/>
    <w:rsid w:val="000B46F0"/>
    <w:rsid w:val="000B48B4"/>
    <w:rsid w:val="000B4C51"/>
    <w:rsid w:val="000B4DB9"/>
    <w:rsid w:val="000B56ED"/>
    <w:rsid w:val="000B5856"/>
    <w:rsid w:val="000B58F0"/>
    <w:rsid w:val="000B5A00"/>
    <w:rsid w:val="000B6561"/>
    <w:rsid w:val="000B7230"/>
    <w:rsid w:val="000B73B6"/>
    <w:rsid w:val="000C04BD"/>
    <w:rsid w:val="000C09AC"/>
    <w:rsid w:val="000C0B5B"/>
    <w:rsid w:val="000C0BC7"/>
    <w:rsid w:val="000C13E6"/>
    <w:rsid w:val="000C19F9"/>
    <w:rsid w:val="000C1FFB"/>
    <w:rsid w:val="000C26AF"/>
    <w:rsid w:val="000C2F1A"/>
    <w:rsid w:val="000C316F"/>
    <w:rsid w:val="000C35FA"/>
    <w:rsid w:val="000C3DBC"/>
    <w:rsid w:val="000C3DEF"/>
    <w:rsid w:val="000C4292"/>
    <w:rsid w:val="000C4313"/>
    <w:rsid w:val="000C44C5"/>
    <w:rsid w:val="000C4B2C"/>
    <w:rsid w:val="000C4F7B"/>
    <w:rsid w:val="000C5387"/>
    <w:rsid w:val="000C574B"/>
    <w:rsid w:val="000C5835"/>
    <w:rsid w:val="000C5AA1"/>
    <w:rsid w:val="000C5C20"/>
    <w:rsid w:val="000C634F"/>
    <w:rsid w:val="000C6675"/>
    <w:rsid w:val="000C6E39"/>
    <w:rsid w:val="000C7505"/>
    <w:rsid w:val="000C7614"/>
    <w:rsid w:val="000C767F"/>
    <w:rsid w:val="000C76A5"/>
    <w:rsid w:val="000C76AD"/>
    <w:rsid w:val="000C7751"/>
    <w:rsid w:val="000C7EA0"/>
    <w:rsid w:val="000D0451"/>
    <w:rsid w:val="000D0D94"/>
    <w:rsid w:val="000D15C0"/>
    <w:rsid w:val="000D1D22"/>
    <w:rsid w:val="000D1F02"/>
    <w:rsid w:val="000D273D"/>
    <w:rsid w:val="000D2C32"/>
    <w:rsid w:val="000D3307"/>
    <w:rsid w:val="000D3309"/>
    <w:rsid w:val="000D38D5"/>
    <w:rsid w:val="000D4026"/>
    <w:rsid w:val="000D494F"/>
    <w:rsid w:val="000D4B85"/>
    <w:rsid w:val="000D513A"/>
    <w:rsid w:val="000D5166"/>
    <w:rsid w:val="000D53B0"/>
    <w:rsid w:val="000D59D0"/>
    <w:rsid w:val="000D5A44"/>
    <w:rsid w:val="000D5F14"/>
    <w:rsid w:val="000D5F7C"/>
    <w:rsid w:val="000D616A"/>
    <w:rsid w:val="000D61F3"/>
    <w:rsid w:val="000D6369"/>
    <w:rsid w:val="000D6954"/>
    <w:rsid w:val="000D69AD"/>
    <w:rsid w:val="000D69F0"/>
    <w:rsid w:val="000D69FB"/>
    <w:rsid w:val="000D6D12"/>
    <w:rsid w:val="000D74DE"/>
    <w:rsid w:val="000D77A4"/>
    <w:rsid w:val="000E0C5A"/>
    <w:rsid w:val="000E0C78"/>
    <w:rsid w:val="000E2124"/>
    <w:rsid w:val="000E22DD"/>
    <w:rsid w:val="000E2564"/>
    <w:rsid w:val="000E2575"/>
    <w:rsid w:val="000E2B13"/>
    <w:rsid w:val="000E2F26"/>
    <w:rsid w:val="000E306E"/>
    <w:rsid w:val="000E31F8"/>
    <w:rsid w:val="000E3A11"/>
    <w:rsid w:val="000E3AD9"/>
    <w:rsid w:val="000E3ED2"/>
    <w:rsid w:val="000E3F48"/>
    <w:rsid w:val="000E4565"/>
    <w:rsid w:val="000E458E"/>
    <w:rsid w:val="000E46AB"/>
    <w:rsid w:val="000E4DF9"/>
    <w:rsid w:val="000E4EE3"/>
    <w:rsid w:val="000E547C"/>
    <w:rsid w:val="000E5A2C"/>
    <w:rsid w:val="000E5E62"/>
    <w:rsid w:val="000E683D"/>
    <w:rsid w:val="000E6922"/>
    <w:rsid w:val="000E6DE6"/>
    <w:rsid w:val="000E719B"/>
    <w:rsid w:val="000E75F9"/>
    <w:rsid w:val="000F0067"/>
    <w:rsid w:val="000F0943"/>
    <w:rsid w:val="000F0DD8"/>
    <w:rsid w:val="000F0E7F"/>
    <w:rsid w:val="000F1361"/>
    <w:rsid w:val="000F139C"/>
    <w:rsid w:val="000F1C38"/>
    <w:rsid w:val="000F1DFD"/>
    <w:rsid w:val="000F237F"/>
    <w:rsid w:val="000F23B0"/>
    <w:rsid w:val="000F2655"/>
    <w:rsid w:val="000F30B6"/>
    <w:rsid w:val="000F3156"/>
    <w:rsid w:val="000F3231"/>
    <w:rsid w:val="000F3400"/>
    <w:rsid w:val="000F3401"/>
    <w:rsid w:val="000F3791"/>
    <w:rsid w:val="000F3E7B"/>
    <w:rsid w:val="000F410D"/>
    <w:rsid w:val="000F4149"/>
    <w:rsid w:val="000F41F3"/>
    <w:rsid w:val="000F4335"/>
    <w:rsid w:val="000F4744"/>
    <w:rsid w:val="000F4BC8"/>
    <w:rsid w:val="000F4D61"/>
    <w:rsid w:val="000F529A"/>
    <w:rsid w:val="000F53DA"/>
    <w:rsid w:val="000F53FD"/>
    <w:rsid w:val="000F5CE4"/>
    <w:rsid w:val="000F5EBC"/>
    <w:rsid w:val="000F613F"/>
    <w:rsid w:val="000F6586"/>
    <w:rsid w:val="000F676E"/>
    <w:rsid w:val="000F67A4"/>
    <w:rsid w:val="000F6CBB"/>
    <w:rsid w:val="001005A5"/>
    <w:rsid w:val="001006B0"/>
    <w:rsid w:val="00100709"/>
    <w:rsid w:val="001010E8"/>
    <w:rsid w:val="001012A0"/>
    <w:rsid w:val="001013EC"/>
    <w:rsid w:val="001015B8"/>
    <w:rsid w:val="00101691"/>
    <w:rsid w:val="00101BC9"/>
    <w:rsid w:val="00101D14"/>
    <w:rsid w:val="001021DC"/>
    <w:rsid w:val="0010256D"/>
    <w:rsid w:val="00102690"/>
    <w:rsid w:val="0010272E"/>
    <w:rsid w:val="00102AB7"/>
    <w:rsid w:val="00102BBE"/>
    <w:rsid w:val="00102D54"/>
    <w:rsid w:val="0010311C"/>
    <w:rsid w:val="00103354"/>
    <w:rsid w:val="0010347B"/>
    <w:rsid w:val="00103559"/>
    <w:rsid w:val="00103583"/>
    <w:rsid w:val="00103878"/>
    <w:rsid w:val="00103CDB"/>
    <w:rsid w:val="00103F6E"/>
    <w:rsid w:val="001040E6"/>
    <w:rsid w:val="00104B65"/>
    <w:rsid w:val="00104C00"/>
    <w:rsid w:val="00105503"/>
    <w:rsid w:val="0010553F"/>
    <w:rsid w:val="00105EC8"/>
    <w:rsid w:val="00105FAB"/>
    <w:rsid w:val="00106AEA"/>
    <w:rsid w:val="00106EF4"/>
    <w:rsid w:val="00107177"/>
    <w:rsid w:val="00107199"/>
    <w:rsid w:val="00107205"/>
    <w:rsid w:val="0010758D"/>
    <w:rsid w:val="001075FB"/>
    <w:rsid w:val="00110091"/>
    <w:rsid w:val="00110093"/>
    <w:rsid w:val="00110464"/>
    <w:rsid w:val="001104FF"/>
    <w:rsid w:val="00110868"/>
    <w:rsid w:val="00110FDF"/>
    <w:rsid w:val="0011118B"/>
    <w:rsid w:val="00111560"/>
    <w:rsid w:val="00111711"/>
    <w:rsid w:val="0011184B"/>
    <w:rsid w:val="00111DEA"/>
    <w:rsid w:val="00112818"/>
    <w:rsid w:val="00112A27"/>
    <w:rsid w:val="00112E00"/>
    <w:rsid w:val="00112F1D"/>
    <w:rsid w:val="00112F9C"/>
    <w:rsid w:val="00113289"/>
    <w:rsid w:val="00113544"/>
    <w:rsid w:val="00114424"/>
    <w:rsid w:val="00114672"/>
    <w:rsid w:val="00114784"/>
    <w:rsid w:val="00114926"/>
    <w:rsid w:val="00114B0D"/>
    <w:rsid w:val="0011503B"/>
    <w:rsid w:val="00115E3C"/>
    <w:rsid w:val="00115E45"/>
    <w:rsid w:val="00115EB6"/>
    <w:rsid w:val="001167F9"/>
    <w:rsid w:val="001168A1"/>
    <w:rsid w:val="0011730F"/>
    <w:rsid w:val="00117506"/>
    <w:rsid w:val="00117627"/>
    <w:rsid w:val="00117B8D"/>
    <w:rsid w:val="0012005A"/>
    <w:rsid w:val="001201F7"/>
    <w:rsid w:val="00120365"/>
    <w:rsid w:val="00120539"/>
    <w:rsid w:val="00120713"/>
    <w:rsid w:val="001212F6"/>
    <w:rsid w:val="00121389"/>
    <w:rsid w:val="00121AD1"/>
    <w:rsid w:val="00121E33"/>
    <w:rsid w:val="00122567"/>
    <w:rsid w:val="00122952"/>
    <w:rsid w:val="00122B70"/>
    <w:rsid w:val="00122C68"/>
    <w:rsid w:val="00122EDC"/>
    <w:rsid w:val="00122F60"/>
    <w:rsid w:val="00123250"/>
    <w:rsid w:val="00123377"/>
    <w:rsid w:val="00123681"/>
    <w:rsid w:val="001237B5"/>
    <w:rsid w:val="00123845"/>
    <w:rsid w:val="00123DAD"/>
    <w:rsid w:val="001240FD"/>
    <w:rsid w:val="0012502E"/>
    <w:rsid w:val="001254F1"/>
    <w:rsid w:val="00125851"/>
    <w:rsid w:val="00125972"/>
    <w:rsid w:val="00125A32"/>
    <w:rsid w:val="00125BBD"/>
    <w:rsid w:val="00126D81"/>
    <w:rsid w:val="00126DEF"/>
    <w:rsid w:val="00127573"/>
    <w:rsid w:val="0012779C"/>
    <w:rsid w:val="00130DAB"/>
    <w:rsid w:val="00131367"/>
    <w:rsid w:val="001314A6"/>
    <w:rsid w:val="00131525"/>
    <w:rsid w:val="0013198E"/>
    <w:rsid w:val="00131F42"/>
    <w:rsid w:val="00132E0E"/>
    <w:rsid w:val="00132F90"/>
    <w:rsid w:val="00133A87"/>
    <w:rsid w:val="0013458B"/>
    <w:rsid w:val="0013489D"/>
    <w:rsid w:val="00134C35"/>
    <w:rsid w:val="001350D7"/>
    <w:rsid w:val="0013578A"/>
    <w:rsid w:val="001357F1"/>
    <w:rsid w:val="00135B08"/>
    <w:rsid w:val="00135C03"/>
    <w:rsid w:val="00135D6B"/>
    <w:rsid w:val="00136165"/>
    <w:rsid w:val="001364BA"/>
    <w:rsid w:val="00136B17"/>
    <w:rsid w:val="00136BE2"/>
    <w:rsid w:val="00136C33"/>
    <w:rsid w:val="00136C5F"/>
    <w:rsid w:val="00137537"/>
    <w:rsid w:val="001375E2"/>
    <w:rsid w:val="0013774E"/>
    <w:rsid w:val="00137CBC"/>
    <w:rsid w:val="0014018A"/>
    <w:rsid w:val="001402DB"/>
    <w:rsid w:val="00140464"/>
    <w:rsid w:val="001404E3"/>
    <w:rsid w:val="0014077F"/>
    <w:rsid w:val="00140892"/>
    <w:rsid w:val="00140946"/>
    <w:rsid w:val="00140B12"/>
    <w:rsid w:val="00140FA8"/>
    <w:rsid w:val="001413A1"/>
    <w:rsid w:val="001419CD"/>
    <w:rsid w:val="00141A9E"/>
    <w:rsid w:val="00141CD6"/>
    <w:rsid w:val="00141F6A"/>
    <w:rsid w:val="00141F94"/>
    <w:rsid w:val="0014260F"/>
    <w:rsid w:val="001427B2"/>
    <w:rsid w:val="001428D1"/>
    <w:rsid w:val="00142AF8"/>
    <w:rsid w:val="00142C3B"/>
    <w:rsid w:val="00142FEB"/>
    <w:rsid w:val="001431AB"/>
    <w:rsid w:val="00143A2D"/>
    <w:rsid w:val="00143AA3"/>
    <w:rsid w:val="00143AC9"/>
    <w:rsid w:val="00143C91"/>
    <w:rsid w:val="001441E3"/>
    <w:rsid w:val="00144536"/>
    <w:rsid w:val="00145085"/>
    <w:rsid w:val="0014532C"/>
    <w:rsid w:val="001456C3"/>
    <w:rsid w:val="00145A41"/>
    <w:rsid w:val="001461E5"/>
    <w:rsid w:val="00146353"/>
    <w:rsid w:val="0014663E"/>
    <w:rsid w:val="001466D1"/>
    <w:rsid w:val="00146700"/>
    <w:rsid w:val="0014672A"/>
    <w:rsid w:val="00146B62"/>
    <w:rsid w:val="00146F72"/>
    <w:rsid w:val="00147505"/>
    <w:rsid w:val="0014774D"/>
    <w:rsid w:val="001477E0"/>
    <w:rsid w:val="0014784C"/>
    <w:rsid w:val="00147F35"/>
    <w:rsid w:val="0015019A"/>
    <w:rsid w:val="00150A0B"/>
    <w:rsid w:val="00150A66"/>
    <w:rsid w:val="00150B7C"/>
    <w:rsid w:val="00150CE8"/>
    <w:rsid w:val="00151301"/>
    <w:rsid w:val="00151566"/>
    <w:rsid w:val="00151675"/>
    <w:rsid w:val="001516E5"/>
    <w:rsid w:val="00151817"/>
    <w:rsid w:val="001519A0"/>
    <w:rsid w:val="00151BA0"/>
    <w:rsid w:val="00151E97"/>
    <w:rsid w:val="0015200D"/>
    <w:rsid w:val="0015247D"/>
    <w:rsid w:val="0015256C"/>
    <w:rsid w:val="00152A11"/>
    <w:rsid w:val="00152E01"/>
    <w:rsid w:val="0015368D"/>
    <w:rsid w:val="00154172"/>
    <w:rsid w:val="00154346"/>
    <w:rsid w:val="0015436D"/>
    <w:rsid w:val="00154457"/>
    <w:rsid w:val="001547F9"/>
    <w:rsid w:val="00154844"/>
    <w:rsid w:val="00154970"/>
    <w:rsid w:val="00154B03"/>
    <w:rsid w:val="00154C32"/>
    <w:rsid w:val="00154C40"/>
    <w:rsid w:val="0015559D"/>
    <w:rsid w:val="0015568B"/>
    <w:rsid w:val="00155BBA"/>
    <w:rsid w:val="00155F06"/>
    <w:rsid w:val="00155FD1"/>
    <w:rsid w:val="001565FC"/>
    <w:rsid w:val="00156683"/>
    <w:rsid w:val="00156DA2"/>
    <w:rsid w:val="00156F6B"/>
    <w:rsid w:val="00157435"/>
    <w:rsid w:val="00157734"/>
    <w:rsid w:val="00157844"/>
    <w:rsid w:val="00160385"/>
    <w:rsid w:val="001603F9"/>
    <w:rsid w:val="00160ADE"/>
    <w:rsid w:val="00160CEA"/>
    <w:rsid w:val="00160F81"/>
    <w:rsid w:val="00160FD4"/>
    <w:rsid w:val="001610A6"/>
    <w:rsid w:val="0016146F"/>
    <w:rsid w:val="00161773"/>
    <w:rsid w:val="0016187C"/>
    <w:rsid w:val="0016197C"/>
    <w:rsid w:val="001619B0"/>
    <w:rsid w:val="00161A12"/>
    <w:rsid w:val="00161CBA"/>
    <w:rsid w:val="0016215D"/>
    <w:rsid w:val="001624C5"/>
    <w:rsid w:val="00162717"/>
    <w:rsid w:val="00162907"/>
    <w:rsid w:val="00162943"/>
    <w:rsid w:val="00162CFB"/>
    <w:rsid w:val="001635CB"/>
    <w:rsid w:val="00163787"/>
    <w:rsid w:val="00163A5F"/>
    <w:rsid w:val="00163BD6"/>
    <w:rsid w:val="00163E59"/>
    <w:rsid w:val="00163F16"/>
    <w:rsid w:val="001640D1"/>
    <w:rsid w:val="0016450C"/>
    <w:rsid w:val="00164734"/>
    <w:rsid w:val="001647FF"/>
    <w:rsid w:val="00165771"/>
    <w:rsid w:val="00165EF6"/>
    <w:rsid w:val="001662AE"/>
    <w:rsid w:val="0016665E"/>
    <w:rsid w:val="00166CF3"/>
    <w:rsid w:val="001671FE"/>
    <w:rsid w:val="001672A3"/>
    <w:rsid w:val="0016733C"/>
    <w:rsid w:val="001676B9"/>
    <w:rsid w:val="0017020E"/>
    <w:rsid w:val="00170CEB"/>
    <w:rsid w:val="00170EF4"/>
    <w:rsid w:val="00171227"/>
    <w:rsid w:val="001714DE"/>
    <w:rsid w:val="00171600"/>
    <w:rsid w:val="0017164A"/>
    <w:rsid w:val="0017181C"/>
    <w:rsid w:val="00171FCA"/>
    <w:rsid w:val="0017227B"/>
    <w:rsid w:val="001723D7"/>
    <w:rsid w:val="001723EB"/>
    <w:rsid w:val="00172D62"/>
    <w:rsid w:val="001734B8"/>
    <w:rsid w:val="00173A5C"/>
    <w:rsid w:val="00173AB3"/>
    <w:rsid w:val="00173B2E"/>
    <w:rsid w:val="00173BD6"/>
    <w:rsid w:val="00173D26"/>
    <w:rsid w:val="00173E23"/>
    <w:rsid w:val="00173F47"/>
    <w:rsid w:val="0017478C"/>
    <w:rsid w:val="00174B44"/>
    <w:rsid w:val="0017504D"/>
    <w:rsid w:val="00175580"/>
    <w:rsid w:val="00175AE7"/>
    <w:rsid w:val="00175DB5"/>
    <w:rsid w:val="0017602B"/>
    <w:rsid w:val="001760A7"/>
    <w:rsid w:val="0017671A"/>
    <w:rsid w:val="00176814"/>
    <w:rsid w:val="00176831"/>
    <w:rsid w:val="00176E95"/>
    <w:rsid w:val="00176F3C"/>
    <w:rsid w:val="0017703F"/>
    <w:rsid w:val="0017727B"/>
    <w:rsid w:val="00177422"/>
    <w:rsid w:val="00177428"/>
    <w:rsid w:val="00177C25"/>
    <w:rsid w:val="00177DAC"/>
    <w:rsid w:val="00180333"/>
    <w:rsid w:val="00180666"/>
    <w:rsid w:val="001806AD"/>
    <w:rsid w:val="001807F9"/>
    <w:rsid w:val="001809AA"/>
    <w:rsid w:val="00180E0F"/>
    <w:rsid w:val="00180E88"/>
    <w:rsid w:val="00180ECC"/>
    <w:rsid w:val="00180F7B"/>
    <w:rsid w:val="001812DD"/>
    <w:rsid w:val="0018160E"/>
    <w:rsid w:val="001816A1"/>
    <w:rsid w:val="00181F82"/>
    <w:rsid w:val="00182487"/>
    <w:rsid w:val="0018249C"/>
    <w:rsid w:val="00182B0F"/>
    <w:rsid w:val="00183474"/>
    <w:rsid w:val="001834A7"/>
    <w:rsid w:val="00183AE3"/>
    <w:rsid w:val="00183B38"/>
    <w:rsid w:val="00184518"/>
    <w:rsid w:val="00184590"/>
    <w:rsid w:val="0018474A"/>
    <w:rsid w:val="00184DC6"/>
    <w:rsid w:val="00184FBA"/>
    <w:rsid w:val="001854CE"/>
    <w:rsid w:val="00185676"/>
    <w:rsid w:val="00185A63"/>
    <w:rsid w:val="00185B81"/>
    <w:rsid w:val="00185CBF"/>
    <w:rsid w:val="00186074"/>
    <w:rsid w:val="00186100"/>
    <w:rsid w:val="00186BE9"/>
    <w:rsid w:val="00186F0D"/>
    <w:rsid w:val="001870D1"/>
    <w:rsid w:val="00187235"/>
    <w:rsid w:val="0018730D"/>
    <w:rsid w:val="001877CA"/>
    <w:rsid w:val="0018781E"/>
    <w:rsid w:val="0019091C"/>
    <w:rsid w:val="00190AAD"/>
    <w:rsid w:val="00190D9B"/>
    <w:rsid w:val="00190DBE"/>
    <w:rsid w:val="00190DF8"/>
    <w:rsid w:val="0019104F"/>
    <w:rsid w:val="0019143A"/>
    <w:rsid w:val="0019188E"/>
    <w:rsid w:val="001919A9"/>
    <w:rsid w:val="00191CE2"/>
    <w:rsid w:val="00192089"/>
    <w:rsid w:val="0019226C"/>
    <w:rsid w:val="001922F6"/>
    <w:rsid w:val="001925D4"/>
    <w:rsid w:val="001925FF"/>
    <w:rsid w:val="0019262D"/>
    <w:rsid w:val="00192CB5"/>
    <w:rsid w:val="0019310B"/>
    <w:rsid w:val="00193A44"/>
    <w:rsid w:val="00193DD0"/>
    <w:rsid w:val="00193E24"/>
    <w:rsid w:val="00194693"/>
    <w:rsid w:val="00194E04"/>
    <w:rsid w:val="00195015"/>
    <w:rsid w:val="00195247"/>
    <w:rsid w:val="00195264"/>
    <w:rsid w:val="00195623"/>
    <w:rsid w:val="00195D00"/>
    <w:rsid w:val="00195DCA"/>
    <w:rsid w:val="00196077"/>
    <w:rsid w:val="001961A5"/>
    <w:rsid w:val="001968AF"/>
    <w:rsid w:val="001968B6"/>
    <w:rsid w:val="00196AE3"/>
    <w:rsid w:val="00196DEE"/>
    <w:rsid w:val="00196E29"/>
    <w:rsid w:val="0019700A"/>
    <w:rsid w:val="001971B6"/>
    <w:rsid w:val="00197531"/>
    <w:rsid w:val="00197C97"/>
    <w:rsid w:val="001A030F"/>
    <w:rsid w:val="001A128B"/>
    <w:rsid w:val="001A1540"/>
    <w:rsid w:val="001A17D9"/>
    <w:rsid w:val="001A195B"/>
    <w:rsid w:val="001A1A05"/>
    <w:rsid w:val="001A1A1F"/>
    <w:rsid w:val="001A1B35"/>
    <w:rsid w:val="001A1C32"/>
    <w:rsid w:val="001A1C90"/>
    <w:rsid w:val="001A1F38"/>
    <w:rsid w:val="001A20B2"/>
    <w:rsid w:val="001A20D3"/>
    <w:rsid w:val="001A2425"/>
    <w:rsid w:val="001A2472"/>
    <w:rsid w:val="001A260E"/>
    <w:rsid w:val="001A268F"/>
    <w:rsid w:val="001A2AC2"/>
    <w:rsid w:val="001A2BC1"/>
    <w:rsid w:val="001A2CB1"/>
    <w:rsid w:val="001A390A"/>
    <w:rsid w:val="001A3F2F"/>
    <w:rsid w:val="001A4253"/>
    <w:rsid w:val="001A45B6"/>
    <w:rsid w:val="001A48A0"/>
    <w:rsid w:val="001A48A2"/>
    <w:rsid w:val="001A4B78"/>
    <w:rsid w:val="001A4DF6"/>
    <w:rsid w:val="001A4F1B"/>
    <w:rsid w:val="001A5027"/>
    <w:rsid w:val="001A522A"/>
    <w:rsid w:val="001A5B98"/>
    <w:rsid w:val="001A679E"/>
    <w:rsid w:val="001A6F61"/>
    <w:rsid w:val="001A72AC"/>
    <w:rsid w:val="001A7479"/>
    <w:rsid w:val="001A7D7A"/>
    <w:rsid w:val="001B087D"/>
    <w:rsid w:val="001B0C90"/>
    <w:rsid w:val="001B0E7D"/>
    <w:rsid w:val="001B0EAD"/>
    <w:rsid w:val="001B147B"/>
    <w:rsid w:val="001B1B77"/>
    <w:rsid w:val="001B1C43"/>
    <w:rsid w:val="001B20D6"/>
    <w:rsid w:val="001B218A"/>
    <w:rsid w:val="001B2366"/>
    <w:rsid w:val="001B24FB"/>
    <w:rsid w:val="001B25BE"/>
    <w:rsid w:val="001B2BE4"/>
    <w:rsid w:val="001B3264"/>
    <w:rsid w:val="001B43BE"/>
    <w:rsid w:val="001B475E"/>
    <w:rsid w:val="001B4E7C"/>
    <w:rsid w:val="001B4F09"/>
    <w:rsid w:val="001B5165"/>
    <w:rsid w:val="001B5232"/>
    <w:rsid w:val="001B593D"/>
    <w:rsid w:val="001B5C14"/>
    <w:rsid w:val="001B5DF2"/>
    <w:rsid w:val="001B6356"/>
    <w:rsid w:val="001B68D9"/>
    <w:rsid w:val="001B6D9B"/>
    <w:rsid w:val="001B6EB2"/>
    <w:rsid w:val="001B72B8"/>
    <w:rsid w:val="001B7522"/>
    <w:rsid w:val="001B794D"/>
    <w:rsid w:val="001B7D18"/>
    <w:rsid w:val="001B7D43"/>
    <w:rsid w:val="001B7F45"/>
    <w:rsid w:val="001C0078"/>
    <w:rsid w:val="001C0A81"/>
    <w:rsid w:val="001C1104"/>
    <w:rsid w:val="001C1552"/>
    <w:rsid w:val="001C172E"/>
    <w:rsid w:val="001C187E"/>
    <w:rsid w:val="001C1979"/>
    <w:rsid w:val="001C1996"/>
    <w:rsid w:val="001C1AF4"/>
    <w:rsid w:val="001C20C8"/>
    <w:rsid w:val="001C314F"/>
    <w:rsid w:val="001C3357"/>
    <w:rsid w:val="001C3A17"/>
    <w:rsid w:val="001C3F6E"/>
    <w:rsid w:val="001C4883"/>
    <w:rsid w:val="001C4C14"/>
    <w:rsid w:val="001C563D"/>
    <w:rsid w:val="001C5B6A"/>
    <w:rsid w:val="001C654D"/>
    <w:rsid w:val="001C69B3"/>
    <w:rsid w:val="001C6AD3"/>
    <w:rsid w:val="001C6C38"/>
    <w:rsid w:val="001C6E1D"/>
    <w:rsid w:val="001C6E9B"/>
    <w:rsid w:val="001C6F25"/>
    <w:rsid w:val="001C721F"/>
    <w:rsid w:val="001C7459"/>
    <w:rsid w:val="001D0709"/>
    <w:rsid w:val="001D08DE"/>
    <w:rsid w:val="001D1123"/>
    <w:rsid w:val="001D1217"/>
    <w:rsid w:val="001D146A"/>
    <w:rsid w:val="001D1944"/>
    <w:rsid w:val="001D1B76"/>
    <w:rsid w:val="001D1DB2"/>
    <w:rsid w:val="001D205A"/>
    <w:rsid w:val="001D264B"/>
    <w:rsid w:val="001D27DE"/>
    <w:rsid w:val="001D2904"/>
    <w:rsid w:val="001D2CDA"/>
    <w:rsid w:val="001D2E69"/>
    <w:rsid w:val="001D2EFE"/>
    <w:rsid w:val="001D350A"/>
    <w:rsid w:val="001D3B20"/>
    <w:rsid w:val="001D40B8"/>
    <w:rsid w:val="001D4948"/>
    <w:rsid w:val="001D4ABF"/>
    <w:rsid w:val="001D4B8F"/>
    <w:rsid w:val="001D4F5D"/>
    <w:rsid w:val="001D543E"/>
    <w:rsid w:val="001D5558"/>
    <w:rsid w:val="001D5595"/>
    <w:rsid w:val="001D58D5"/>
    <w:rsid w:val="001D5F74"/>
    <w:rsid w:val="001D663A"/>
    <w:rsid w:val="001D66D8"/>
    <w:rsid w:val="001D6924"/>
    <w:rsid w:val="001D6DB2"/>
    <w:rsid w:val="001D73DB"/>
    <w:rsid w:val="001D784C"/>
    <w:rsid w:val="001D7874"/>
    <w:rsid w:val="001D7B97"/>
    <w:rsid w:val="001D7D3E"/>
    <w:rsid w:val="001D7D6B"/>
    <w:rsid w:val="001D7D9E"/>
    <w:rsid w:val="001D7F22"/>
    <w:rsid w:val="001E01AD"/>
    <w:rsid w:val="001E07A9"/>
    <w:rsid w:val="001E0F95"/>
    <w:rsid w:val="001E10D8"/>
    <w:rsid w:val="001E1414"/>
    <w:rsid w:val="001E147F"/>
    <w:rsid w:val="001E15FC"/>
    <w:rsid w:val="001E1FDE"/>
    <w:rsid w:val="001E244E"/>
    <w:rsid w:val="001E253C"/>
    <w:rsid w:val="001E25A5"/>
    <w:rsid w:val="001E29DE"/>
    <w:rsid w:val="001E2A28"/>
    <w:rsid w:val="001E2B31"/>
    <w:rsid w:val="001E2C54"/>
    <w:rsid w:val="001E2E36"/>
    <w:rsid w:val="001E367D"/>
    <w:rsid w:val="001E3956"/>
    <w:rsid w:val="001E413D"/>
    <w:rsid w:val="001E42BC"/>
    <w:rsid w:val="001E42D4"/>
    <w:rsid w:val="001E4C7C"/>
    <w:rsid w:val="001E4EAB"/>
    <w:rsid w:val="001E59A5"/>
    <w:rsid w:val="001E5B0A"/>
    <w:rsid w:val="001E6524"/>
    <w:rsid w:val="001E68C5"/>
    <w:rsid w:val="001E6DBE"/>
    <w:rsid w:val="001E715E"/>
    <w:rsid w:val="001E7210"/>
    <w:rsid w:val="001E72B3"/>
    <w:rsid w:val="001E75A5"/>
    <w:rsid w:val="001E7741"/>
    <w:rsid w:val="001E79BC"/>
    <w:rsid w:val="001E7CFA"/>
    <w:rsid w:val="001E7D2F"/>
    <w:rsid w:val="001F098E"/>
    <w:rsid w:val="001F09CC"/>
    <w:rsid w:val="001F0A52"/>
    <w:rsid w:val="001F0B3B"/>
    <w:rsid w:val="001F0CD7"/>
    <w:rsid w:val="001F0CFE"/>
    <w:rsid w:val="001F0F17"/>
    <w:rsid w:val="001F11A9"/>
    <w:rsid w:val="001F1464"/>
    <w:rsid w:val="001F14DF"/>
    <w:rsid w:val="001F2686"/>
    <w:rsid w:val="001F2BD0"/>
    <w:rsid w:val="001F3215"/>
    <w:rsid w:val="001F3292"/>
    <w:rsid w:val="001F3347"/>
    <w:rsid w:val="001F35E3"/>
    <w:rsid w:val="001F38E1"/>
    <w:rsid w:val="001F396A"/>
    <w:rsid w:val="001F3E9C"/>
    <w:rsid w:val="001F4430"/>
    <w:rsid w:val="001F447E"/>
    <w:rsid w:val="001F4BD0"/>
    <w:rsid w:val="001F50AE"/>
    <w:rsid w:val="001F56C3"/>
    <w:rsid w:val="001F56E8"/>
    <w:rsid w:val="001F5B64"/>
    <w:rsid w:val="001F60DE"/>
    <w:rsid w:val="001F626D"/>
    <w:rsid w:val="001F6525"/>
    <w:rsid w:val="001F6537"/>
    <w:rsid w:val="001F6614"/>
    <w:rsid w:val="001F6662"/>
    <w:rsid w:val="001F69E4"/>
    <w:rsid w:val="001F6BA7"/>
    <w:rsid w:val="001F7672"/>
    <w:rsid w:val="001F7702"/>
    <w:rsid w:val="001F7D86"/>
    <w:rsid w:val="002005D9"/>
    <w:rsid w:val="00200CF0"/>
    <w:rsid w:val="0020153F"/>
    <w:rsid w:val="0020195E"/>
    <w:rsid w:val="00201B81"/>
    <w:rsid w:val="00201DFE"/>
    <w:rsid w:val="00201F69"/>
    <w:rsid w:val="00202061"/>
    <w:rsid w:val="00202230"/>
    <w:rsid w:val="0020306A"/>
    <w:rsid w:val="002030C2"/>
    <w:rsid w:val="0020313F"/>
    <w:rsid w:val="002031A4"/>
    <w:rsid w:val="002038A0"/>
    <w:rsid w:val="00203A22"/>
    <w:rsid w:val="00203E6B"/>
    <w:rsid w:val="00203F95"/>
    <w:rsid w:val="002040B3"/>
    <w:rsid w:val="002042A5"/>
    <w:rsid w:val="00204581"/>
    <w:rsid w:val="00204C4B"/>
    <w:rsid w:val="00205220"/>
    <w:rsid w:val="00205A7E"/>
    <w:rsid w:val="0020625A"/>
    <w:rsid w:val="00206536"/>
    <w:rsid w:val="00206587"/>
    <w:rsid w:val="002065A5"/>
    <w:rsid w:val="00206737"/>
    <w:rsid w:val="00206A5D"/>
    <w:rsid w:val="0020721F"/>
    <w:rsid w:val="00207AFE"/>
    <w:rsid w:val="00207C6A"/>
    <w:rsid w:val="00207DA3"/>
    <w:rsid w:val="00207E90"/>
    <w:rsid w:val="00207EA1"/>
    <w:rsid w:val="00210168"/>
    <w:rsid w:val="0021023A"/>
    <w:rsid w:val="0021117C"/>
    <w:rsid w:val="002112DF"/>
    <w:rsid w:val="00211CF8"/>
    <w:rsid w:val="00211D49"/>
    <w:rsid w:val="002120F9"/>
    <w:rsid w:val="00212102"/>
    <w:rsid w:val="002125B4"/>
    <w:rsid w:val="002129F3"/>
    <w:rsid w:val="00212B69"/>
    <w:rsid w:val="0021334A"/>
    <w:rsid w:val="0021349E"/>
    <w:rsid w:val="00213874"/>
    <w:rsid w:val="0021394E"/>
    <w:rsid w:val="002139A5"/>
    <w:rsid w:val="00213DD4"/>
    <w:rsid w:val="00214234"/>
    <w:rsid w:val="00214532"/>
    <w:rsid w:val="00214758"/>
    <w:rsid w:val="00214D2C"/>
    <w:rsid w:val="00214ECA"/>
    <w:rsid w:val="00215033"/>
    <w:rsid w:val="0021545B"/>
    <w:rsid w:val="002155B8"/>
    <w:rsid w:val="002155EC"/>
    <w:rsid w:val="00215618"/>
    <w:rsid w:val="0021588C"/>
    <w:rsid w:val="00216051"/>
    <w:rsid w:val="00217DBF"/>
    <w:rsid w:val="00217FAC"/>
    <w:rsid w:val="002204BA"/>
    <w:rsid w:val="0022063C"/>
    <w:rsid w:val="0022077D"/>
    <w:rsid w:val="00220B6D"/>
    <w:rsid w:val="00220DD3"/>
    <w:rsid w:val="002214FF"/>
    <w:rsid w:val="00221954"/>
    <w:rsid w:val="00221C18"/>
    <w:rsid w:val="00221EBD"/>
    <w:rsid w:val="00222164"/>
    <w:rsid w:val="00222245"/>
    <w:rsid w:val="002222A0"/>
    <w:rsid w:val="00222DD2"/>
    <w:rsid w:val="00223071"/>
    <w:rsid w:val="0022367A"/>
    <w:rsid w:val="00223A53"/>
    <w:rsid w:val="002241C6"/>
    <w:rsid w:val="0022428B"/>
    <w:rsid w:val="00224411"/>
    <w:rsid w:val="00224839"/>
    <w:rsid w:val="002249B2"/>
    <w:rsid w:val="00224E9F"/>
    <w:rsid w:val="002254F4"/>
    <w:rsid w:val="002255DB"/>
    <w:rsid w:val="00225A10"/>
    <w:rsid w:val="00225C42"/>
    <w:rsid w:val="00225C68"/>
    <w:rsid w:val="00225E8D"/>
    <w:rsid w:val="00225FF1"/>
    <w:rsid w:val="002260DE"/>
    <w:rsid w:val="00226289"/>
    <w:rsid w:val="0022632D"/>
    <w:rsid w:val="00226574"/>
    <w:rsid w:val="0022691C"/>
    <w:rsid w:val="00226A11"/>
    <w:rsid w:val="00226AEF"/>
    <w:rsid w:val="00226B27"/>
    <w:rsid w:val="00226EE2"/>
    <w:rsid w:val="00227657"/>
    <w:rsid w:val="002276F1"/>
    <w:rsid w:val="002278EC"/>
    <w:rsid w:val="00227C5F"/>
    <w:rsid w:val="0023004D"/>
    <w:rsid w:val="00230301"/>
    <w:rsid w:val="002309E4"/>
    <w:rsid w:val="002309EF"/>
    <w:rsid w:val="00230AA1"/>
    <w:rsid w:val="00230CD0"/>
    <w:rsid w:val="00231801"/>
    <w:rsid w:val="00231802"/>
    <w:rsid w:val="002324CA"/>
    <w:rsid w:val="0023280E"/>
    <w:rsid w:val="002328E7"/>
    <w:rsid w:val="00232E09"/>
    <w:rsid w:val="0023387B"/>
    <w:rsid w:val="00233A06"/>
    <w:rsid w:val="00233A7F"/>
    <w:rsid w:val="00233CA5"/>
    <w:rsid w:val="002344ED"/>
    <w:rsid w:val="002352F1"/>
    <w:rsid w:val="00235357"/>
    <w:rsid w:val="002354A1"/>
    <w:rsid w:val="002358D1"/>
    <w:rsid w:val="002358D9"/>
    <w:rsid w:val="00235C0D"/>
    <w:rsid w:val="00235C1C"/>
    <w:rsid w:val="00236166"/>
    <w:rsid w:val="002361A2"/>
    <w:rsid w:val="002367D3"/>
    <w:rsid w:val="00236E08"/>
    <w:rsid w:val="0023724E"/>
    <w:rsid w:val="00237799"/>
    <w:rsid w:val="002377D1"/>
    <w:rsid w:val="00237BA2"/>
    <w:rsid w:val="00237DA8"/>
    <w:rsid w:val="00237F33"/>
    <w:rsid w:val="0024004B"/>
    <w:rsid w:val="002408EA"/>
    <w:rsid w:val="002409CB"/>
    <w:rsid w:val="00240A2A"/>
    <w:rsid w:val="00240B62"/>
    <w:rsid w:val="00240D44"/>
    <w:rsid w:val="00241395"/>
    <w:rsid w:val="002415B7"/>
    <w:rsid w:val="0024178C"/>
    <w:rsid w:val="0024188B"/>
    <w:rsid w:val="00241AE7"/>
    <w:rsid w:val="00241C31"/>
    <w:rsid w:val="0024237B"/>
    <w:rsid w:val="002424C1"/>
    <w:rsid w:val="0024251F"/>
    <w:rsid w:val="002428C8"/>
    <w:rsid w:val="00242FA5"/>
    <w:rsid w:val="00243D40"/>
    <w:rsid w:val="00243DFC"/>
    <w:rsid w:val="0024413E"/>
    <w:rsid w:val="0024474D"/>
    <w:rsid w:val="00244BBD"/>
    <w:rsid w:val="0024510A"/>
    <w:rsid w:val="0024571F"/>
    <w:rsid w:val="00245824"/>
    <w:rsid w:val="002459FF"/>
    <w:rsid w:val="00245D3B"/>
    <w:rsid w:val="00245D86"/>
    <w:rsid w:val="00245F4C"/>
    <w:rsid w:val="00245F7C"/>
    <w:rsid w:val="0024630F"/>
    <w:rsid w:val="00246638"/>
    <w:rsid w:val="002466C0"/>
    <w:rsid w:val="00246A96"/>
    <w:rsid w:val="00246F30"/>
    <w:rsid w:val="002473E9"/>
    <w:rsid w:val="0024762D"/>
    <w:rsid w:val="002477D7"/>
    <w:rsid w:val="00247899"/>
    <w:rsid w:val="0024789E"/>
    <w:rsid w:val="00247DAF"/>
    <w:rsid w:val="00247F3C"/>
    <w:rsid w:val="002501B7"/>
    <w:rsid w:val="00250280"/>
    <w:rsid w:val="0025062C"/>
    <w:rsid w:val="002506BC"/>
    <w:rsid w:val="00250903"/>
    <w:rsid w:val="002510C1"/>
    <w:rsid w:val="00251472"/>
    <w:rsid w:val="00251864"/>
    <w:rsid w:val="0025222D"/>
    <w:rsid w:val="00252AB8"/>
    <w:rsid w:val="00252FE6"/>
    <w:rsid w:val="00253280"/>
    <w:rsid w:val="0025336A"/>
    <w:rsid w:val="00253372"/>
    <w:rsid w:val="00253D55"/>
    <w:rsid w:val="00254345"/>
    <w:rsid w:val="00254580"/>
    <w:rsid w:val="00254970"/>
    <w:rsid w:val="00254D62"/>
    <w:rsid w:val="00254D8C"/>
    <w:rsid w:val="00254E24"/>
    <w:rsid w:val="00254E64"/>
    <w:rsid w:val="00255FAB"/>
    <w:rsid w:val="00256AA6"/>
    <w:rsid w:val="00256B0E"/>
    <w:rsid w:val="00256F44"/>
    <w:rsid w:val="002571D3"/>
    <w:rsid w:val="0026092E"/>
    <w:rsid w:val="00260AE8"/>
    <w:rsid w:val="00260CFF"/>
    <w:rsid w:val="00260E77"/>
    <w:rsid w:val="002611EC"/>
    <w:rsid w:val="00261314"/>
    <w:rsid w:val="002614AC"/>
    <w:rsid w:val="00261A6A"/>
    <w:rsid w:val="00261E80"/>
    <w:rsid w:val="00262103"/>
    <w:rsid w:val="0026245E"/>
    <w:rsid w:val="002627B2"/>
    <w:rsid w:val="00262BC8"/>
    <w:rsid w:val="00262DA4"/>
    <w:rsid w:val="00262F61"/>
    <w:rsid w:val="002630FA"/>
    <w:rsid w:val="0026318C"/>
    <w:rsid w:val="002631C4"/>
    <w:rsid w:val="00263227"/>
    <w:rsid w:val="0026373D"/>
    <w:rsid w:val="002639CC"/>
    <w:rsid w:val="0026423B"/>
    <w:rsid w:val="00264557"/>
    <w:rsid w:val="0026470D"/>
    <w:rsid w:val="0026480A"/>
    <w:rsid w:val="00264A7C"/>
    <w:rsid w:val="00264EF0"/>
    <w:rsid w:val="00264FC8"/>
    <w:rsid w:val="00265422"/>
    <w:rsid w:val="00265575"/>
    <w:rsid w:val="00265BBF"/>
    <w:rsid w:val="00266311"/>
    <w:rsid w:val="00266331"/>
    <w:rsid w:val="002666B6"/>
    <w:rsid w:val="00266DD1"/>
    <w:rsid w:val="002671B9"/>
    <w:rsid w:val="002675F3"/>
    <w:rsid w:val="00267645"/>
    <w:rsid w:val="00267B9C"/>
    <w:rsid w:val="002700FB"/>
    <w:rsid w:val="00270305"/>
    <w:rsid w:val="0027051E"/>
    <w:rsid w:val="00270B5B"/>
    <w:rsid w:val="00270C75"/>
    <w:rsid w:val="00270DBA"/>
    <w:rsid w:val="00270E5F"/>
    <w:rsid w:val="002713FA"/>
    <w:rsid w:val="00271ECB"/>
    <w:rsid w:val="00272324"/>
    <w:rsid w:val="00272373"/>
    <w:rsid w:val="00272678"/>
    <w:rsid w:val="00272720"/>
    <w:rsid w:val="0027299C"/>
    <w:rsid w:val="00272EBB"/>
    <w:rsid w:val="00272FB8"/>
    <w:rsid w:val="00273096"/>
    <w:rsid w:val="002731EB"/>
    <w:rsid w:val="0027344B"/>
    <w:rsid w:val="00273D05"/>
    <w:rsid w:val="00274319"/>
    <w:rsid w:val="002744BE"/>
    <w:rsid w:val="0027484D"/>
    <w:rsid w:val="00274927"/>
    <w:rsid w:val="0027492E"/>
    <w:rsid w:val="00274BB5"/>
    <w:rsid w:val="00274FB5"/>
    <w:rsid w:val="0027504E"/>
    <w:rsid w:val="00275D4F"/>
    <w:rsid w:val="00275E9A"/>
    <w:rsid w:val="002760F9"/>
    <w:rsid w:val="00276553"/>
    <w:rsid w:val="00277051"/>
    <w:rsid w:val="00277697"/>
    <w:rsid w:val="00277D84"/>
    <w:rsid w:val="00277E0F"/>
    <w:rsid w:val="00277F75"/>
    <w:rsid w:val="002802DA"/>
    <w:rsid w:val="002805AB"/>
    <w:rsid w:val="00280C3E"/>
    <w:rsid w:val="00280C92"/>
    <w:rsid w:val="00280CF8"/>
    <w:rsid w:val="00280D6F"/>
    <w:rsid w:val="00280FA2"/>
    <w:rsid w:val="0028133E"/>
    <w:rsid w:val="002813CD"/>
    <w:rsid w:val="002818A0"/>
    <w:rsid w:val="00281C1E"/>
    <w:rsid w:val="00281D76"/>
    <w:rsid w:val="00281E1E"/>
    <w:rsid w:val="00282CA0"/>
    <w:rsid w:val="00282D10"/>
    <w:rsid w:val="00282E43"/>
    <w:rsid w:val="00282FF0"/>
    <w:rsid w:val="0028315B"/>
    <w:rsid w:val="00283344"/>
    <w:rsid w:val="002834FD"/>
    <w:rsid w:val="00283713"/>
    <w:rsid w:val="00283FF8"/>
    <w:rsid w:val="00284204"/>
    <w:rsid w:val="002842C6"/>
    <w:rsid w:val="002843E2"/>
    <w:rsid w:val="0028453D"/>
    <w:rsid w:val="0028491F"/>
    <w:rsid w:val="0028592A"/>
    <w:rsid w:val="002860CB"/>
    <w:rsid w:val="002863C0"/>
    <w:rsid w:val="00287331"/>
    <w:rsid w:val="00287470"/>
    <w:rsid w:val="0028752A"/>
    <w:rsid w:val="00287A58"/>
    <w:rsid w:val="00287AB5"/>
    <w:rsid w:val="00287B87"/>
    <w:rsid w:val="00287C22"/>
    <w:rsid w:val="00287CBB"/>
    <w:rsid w:val="00287D07"/>
    <w:rsid w:val="00287F02"/>
    <w:rsid w:val="00287F83"/>
    <w:rsid w:val="002901DB"/>
    <w:rsid w:val="00290216"/>
    <w:rsid w:val="0029057D"/>
    <w:rsid w:val="002910C4"/>
    <w:rsid w:val="0029116F"/>
    <w:rsid w:val="00291503"/>
    <w:rsid w:val="00291538"/>
    <w:rsid w:val="00291773"/>
    <w:rsid w:val="00291853"/>
    <w:rsid w:val="00291AF1"/>
    <w:rsid w:val="00291B3F"/>
    <w:rsid w:val="00291C24"/>
    <w:rsid w:val="00292801"/>
    <w:rsid w:val="00292BF8"/>
    <w:rsid w:val="00292F1E"/>
    <w:rsid w:val="0029331B"/>
    <w:rsid w:val="00293BA6"/>
    <w:rsid w:val="00293E94"/>
    <w:rsid w:val="00294003"/>
    <w:rsid w:val="002941AC"/>
    <w:rsid w:val="002941E7"/>
    <w:rsid w:val="00294674"/>
    <w:rsid w:val="00294CB8"/>
    <w:rsid w:val="00294F8A"/>
    <w:rsid w:val="00295330"/>
    <w:rsid w:val="00295A13"/>
    <w:rsid w:val="00295C80"/>
    <w:rsid w:val="00295D78"/>
    <w:rsid w:val="00296261"/>
    <w:rsid w:val="0029676E"/>
    <w:rsid w:val="002967A2"/>
    <w:rsid w:val="0029692E"/>
    <w:rsid w:val="002969D0"/>
    <w:rsid w:val="00296E2B"/>
    <w:rsid w:val="0029783D"/>
    <w:rsid w:val="00297DDA"/>
    <w:rsid w:val="00297E8B"/>
    <w:rsid w:val="002A017E"/>
    <w:rsid w:val="002A0239"/>
    <w:rsid w:val="002A03E4"/>
    <w:rsid w:val="002A0593"/>
    <w:rsid w:val="002A1054"/>
    <w:rsid w:val="002A13EC"/>
    <w:rsid w:val="002A1682"/>
    <w:rsid w:val="002A168C"/>
    <w:rsid w:val="002A1737"/>
    <w:rsid w:val="002A1998"/>
    <w:rsid w:val="002A1B0E"/>
    <w:rsid w:val="002A1BE2"/>
    <w:rsid w:val="002A1DDE"/>
    <w:rsid w:val="002A1E91"/>
    <w:rsid w:val="002A25AA"/>
    <w:rsid w:val="002A25B6"/>
    <w:rsid w:val="002A25FC"/>
    <w:rsid w:val="002A312B"/>
    <w:rsid w:val="002A351D"/>
    <w:rsid w:val="002A3AA3"/>
    <w:rsid w:val="002A3DA8"/>
    <w:rsid w:val="002A3DAA"/>
    <w:rsid w:val="002A3DB0"/>
    <w:rsid w:val="002A3DC7"/>
    <w:rsid w:val="002A4358"/>
    <w:rsid w:val="002A43EF"/>
    <w:rsid w:val="002A44CD"/>
    <w:rsid w:val="002A4570"/>
    <w:rsid w:val="002A4653"/>
    <w:rsid w:val="002A4B6A"/>
    <w:rsid w:val="002A53E3"/>
    <w:rsid w:val="002A59B5"/>
    <w:rsid w:val="002A5D78"/>
    <w:rsid w:val="002A5EEA"/>
    <w:rsid w:val="002A61E0"/>
    <w:rsid w:val="002A6525"/>
    <w:rsid w:val="002A6DAB"/>
    <w:rsid w:val="002A6F1B"/>
    <w:rsid w:val="002A6F7A"/>
    <w:rsid w:val="002A71A2"/>
    <w:rsid w:val="002A7640"/>
    <w:rsid w:val="002A7973"/>
    <w:rsid w:val="002A7BD0"/>
    <w:rsid w:val="002B0951"/>
    <w:rsid w:val="002B0D44"/>
    <w:rsid w:val="002B0DDB"/>
    <w:rsid w:val="002B125E"/>
    <w:rsid w:val="002B12EC"/>
    <w:rsid w:val="002B1E1A"/>
    <w:rsid w:val="002B1E7B"/>
    <w:rsid w:val="002B2164"/>
    <w:rsid w:val="002B28E0"/>
    <w:rsid w:val="002B2C0F"/>
    <w:rsid w:val="002B308E"/>
    <w:rsid w:val="002B3143"/>
    <w:rsid w:val="002B364F"/>
    <w:rsid w:val="002B3D7D"/>
    <w:rsid w:val="002B3F53"/>
    <w:rsid w:val="002B47C3"/>
    <w:rsid w:val="002B48C8"/>
    <w:rsid w:val="002B49E2"/>
    <w:rsid w:val="002B4A96"/>
    <w:rsid w:val="002B5018"/>
    <w:rsid w:val="002B5138"/>
    <w:rsid w:val="002B5229"/>
    <w:rsid w:val="002B5672"/>
    <w:rsid w:val="002B5996"/>
    <w:rsid w:val="002B5A79"/>
    <w:rsid w:val="002B5D1C"/>
    <w:rsid w:val="002B5EC6"/>
    <w:rsid w:val="002B6225"/>
    <w:rsid w:val="002B6A00"/>
    <w:rsid w:val="002B6A3C"/>
    <w:rsid w:val="002B6F4D"/>
    <w:rsid w:val="002B719F"/>
    <w:rsid w:val="002B7A83"/>
    <w:rsid w:val="002B7A98"/>
    <w:rsid w:val="002B7AA3"/>
    <w:rsid w:val="002B7B00"/>
    <w:rsid w:val="002B7BA0"/>
    <w:rsid w:val="002B7C44"/>
    <w:rsid w:val="002B7E7F"/>
    <w:rsid w:val="002C06C3"/>
    <w:rsid w:val="002C0D6D"/>
    <w:rsid w:val="002C0F71"/>
    <w:rsid w:val="002C1101"/>
    <w:rsid w:val="002C1AC8"/>
    <w:rsid w:val="002C1D92"/>
    <w:rsid w:val="002C1E88"/>
    <w:rsid w:val="002C21CA"/>
    <w:rsid w:val="002C2457"/>
    <w:rsid w:val="002C2861"/>
    <w:rsid w:val="002C2B17"/>
    <w:rsid w:val="002C2F1B"/>
    <w:rsid w:val="002C2FA3"/>
    <w:rsid w:val="002C30F2"/>
    <w:rsid w:val="002C3446"/>
    <w:rsid w:val="002C3718"/>
    <w:rsid w:val="002C3F0B"/>
    <w:rsid w:val="002C44C2"/>
    <w:rsid w:val="002C49BD"/>
    <w:rsid w:val="002C4A87"/>
    <w:rsid w:val="002C4B51"/>
    <w:rsid w:val="002C4C61"/>
    <w:rsid w:val="002C4E36"/>
    <w:rsid w:val="002C4E8E"/>
    <w:rsid w:val="002C5416"/>
    <w:rsid w:val="002C582E"/>
    <w:rsid w:val="002C616E"/>
    <w:rsid w:val="002C61B7"/>
    <w:rsid w:val="002C6203"/>
    <w:rsid w:val="002C623E"/>
    <w:rsid w:val="002C6405"/>
    <w:rsid w:val="002C6433"/>
    <w:rsid w:val="002C67AE"/>
    <w:rsid w:val="002C73B1"/>
    <w:rsid w:val="002C73CE"/>
    <w:rsid w:val="002C7639"/>
    <w:rsid w:val="002C7681"/>
    <w:rsid w:val="002C781E"/>
    <w:rsid w:val="002C7A8D"/>
    <w:rsid w:val="002C7B4C"/>
    <w:rsid w:val="002D007E"/>
    <w:rsid w:val="002D074D"/>
    <w:rsid w:val="002D08B6"/>
    <w:rsid w:val="002D0A58"/>
    <w:rsid w:val="002D0EBD"/>
    <w:rsid w:val="002D131D"/>
    <w:rsid w:val="002D1FC5"/>
    <w:rsid w:val="002D227E"/>
    <w:rsid w:val="002D2E77"/>
    <w:rsid w:val="002D31C8"/>
    <w:rsid w:val="002D38B2"/>
    <w:rsid w:val="002D3A41"/>
    <w:rsid w:val="002D3AC8"/>
    <w:rsid w:val="002D3BF9"/>
    <w:rsid w:val="002D3DD0"/>
    <w:rsid w:val="002D3F95"/>
    <w:rsid w:val="002D41B3"/>
    <w:rsid w:val="002D41CD"/>
    <w:rsid w:val="002D45B2"/>
    <w:rsid w:val="002D4B44"/>
    <w:rsid w:val="002D4E8B"/>
    <w:rsid w:val="002D55D8"/>
    <w:rsid w:val="002D5852"/>
    <w:rsid w:val="002D5869"/>
    <w:rsid w:val="002D62A1"/>
    <w:rsid w:val="002D6970"/>
    <w:rsid w:val="002D7207"/>
    <w:rsid w:val="002D740D"/>
    <w:rsid w:val="002D76D4"/>
    <w:rsid w:val="002E01F5"/>
    <w:rsid w:val="002E025C"/>
    <w:rsid w:val="002E0483"/>
    <w:rsid w:val="002E0688"/>
    <w:rsid w:val="002E08DB"/>
    <w:rsid w:val="002E0D02"/>
    <w:rsid w:val="002E10B2"/>
    <w:rsid w:val="002E10DB"/>
    <w:rsid w:val="002E1898"/>
    <w:rsid w:val="002E1BB7"/>
    <w:rsid w:val="002E1E0F"/>
    <w:rsid w:val="002E1E98"/>
    <w:rsid w:val="002E1F3A"/>
    <w:rsid w:val="002E2194"/>
    <w:rsid w:val="002E2342"/>
    <w:rsid w:val="002E25BF"/>
    <w:rsid w:val="002E298A"/>
    <w:rsid w:val="002E29C3"/>
    <w:rsid w:val="002E2A12"/>
    <w:rsid w:val="002E2BC7"/>
    <w:rsid w:val="002E2DD1"/>
    <w:rsid w:val="002E3106"/>
    <w:rsid w:val="002E3157"/>
    <w:rsid w:val="002E38B0"/>
    <w:rsid w:val="002E4063"/>
    <w:rsid w:val="002E4382"/>
    <w:rsid w:val="002E4A1D"/>
    <w:rsid w:val="002E4B38"/>
    <w:rsid w:val="002E4DC1"/>
    <w:rsid w:val="002E5651"/>
    <w:rsid w:val="002E6076"/>
    <w:rsid w:val="002E63FB"/>
    <w:rsid w:val="002E64D0"/>
    <w:rsid w:val="002E64DE"/>
    <w:rsid w:val="002E6559"/>
    <w:rsid w:val="002E6E3F"/>
    <w:rsid w:val="002E795A"/>
    <w:rsid w:val="002E7C94"/>
    <w:rsid w:val="002E7DD7"/>
    <w:rsid w:val="002F0557"/>
    <w:rsid w:val="002F068A"/>
    <w:rsid w:val="002F0DA0"/>
    <w:rsid w:val="002F1B78"/>
    <w:rsid w:val="002F1F71"/>
    <w:rsid w:val="002F25E7"/>
    <w:rsid w:val="002F2B58"/>
    <w:rsid w:val="002F2BAB"/>
    <w:rsid w:val="002F2F03"/>
    <w:rsid w:val="002F3538"/>
    <w:rsid w:val="002F35FB"/>
    <w:rsid w:val="002F3913"/>
    <w:rsid w:val="002F3CC8"/>
    <w:rsid w:val="002F4163"/>
    <w:rsid w:val="002F428F"/>
    <w:rsid w:val="002F46BD"/>
    <w:rsid w:val="002F4879"/>
    <w:rsid w:val="002F4937"/>
    <w:rsid w:val="002F49DE"/>
    <w:rsid w:val="002F4A3C"/>
    <w:rsid w:val="002F4F13"/>
    <w:rsid w:val="002F5211"/>
    <w:rsid w:val="002F5258"/>
    <w:rsid w:val="002F57EA"/>
    <w:rsid w:val="002F58A2"/>
    <w:rsid w:val="002F5B9E"/>
    <w:rsid w:val="002F5CD7"/>
    <w:rsid w:val="002F5EF8"/>
    <w:rsid w:val="002F61BA"/>
    <w:rsid w:val="002F62AD"/>
    <w:rsid w:val="002F635B"/>
    <w:rsid w:val="002F6705"/>
    <w:rsid w:val="002F6C45"/>
    <w:rsid w:val="002F6F2B"/>
    <w:rsid w:val="002F71AA"/>
    <w:rsid w:val="002F74C4"/>
    <w:rsid w:val="002F7533"/>
    <w:rsid w:val="002F7A31"/>
    <w:rsid w:val="00300111"/>
    <w:rsid w:val="003004FC"/>
    <w:rsid w:val="0030059E"/>
    <w:rsid w:val="00301033"/>
    <w:rsid w:val="003011CE"/>
    <w:rsid w:val="00301383"/>
    <w:rsid w:val="0030152F"/>
    <w:rsid w:val="003015BB"/>
    <w:rsid w:val="0030168D"/>
    <w:rsid w:val="00301978"/>
    <w:rsid w:val="00301BBC"/>
    <w:rsid w:val="0030219B"/>
    <w:rsid w:val="00302720"/>
    <w:rsid w:val="00302D24"/>
    <w:rsid w:val="00302E94"/>
    <w:rsid w:val="0030332C"/>
    <w:rsid w:val="003036A0"/>
    <w:rsid w:val="00303761"/>
    <w:rsid w:val="0030393E"/>
    <w:rsid w:val="00303A89"/>
    <w:rsid w:val="00303C44"/>
    <w:rsid w:val="00303D6D"/>
    <w:rsid w:val="00304412"/>
    <w:rsid w:val="00304639"/>
    <w:rsid w:val="003047D3"/>
    <w:rsid w:val="003047EA"/>
    <w:rsid w:val="00304853"/>
    <w:rsid w:val="00304980"/>
    <w:rsid w:val="003050C3"/>
    <w:rsid w:val="003051C2"/>
    <w:rsid w:val="00305201"/>
    <w:rsid w:val="003059BA"/>
    <w:rsid w:val="003059F7"/>
    <w:rsid w:val="00305DA2"/>
    <w:rsid w:val="003060B0"/>
    <w:rsid w:val="00306A9F"/>
    <w:rsid w:val="00306B80"/>
    <w:rsid w:val="00306C54"/>
    <w:rsid w:val="00306E59"/>
    <w:rsid w:val="0030706D"/>
    <w:rsid w:val="0030730C"/>
    <w:rsid w:val="00307E94"/>
    <w:rsid w:val="0031006E"/>
    <w:rsid w:val="00310770"/>
    <w:rsid w:val="00310F71"/>
    <w:rsid w:val="00312296"/>
    <w:rsid w:val="00312942"/>
    <w:rsid w:val="00312CFA"/>
    <w:rsid w:val="00312FAD"/>
    <w:rsid w:val="00313000"/>
    <w:rsid w:val="0031305F"/>
    <w:rsid w:val="003131DE"/>
    <w:rsid w:val="00313DE3"/>
    <w:rsid w:val="003140A6"/>
    <w:rsid w:val="003144EE"/>
    <w:rsid w:val="00314699"/>
    <w:rsid w:val="003149F2"/>
    <w:rsid w:val="00314F0E"/>
    <w:rsid w:val="00316220"/>
    <w:rsid w:val="003162A3"/>
    <w:rsid w:val="003165AC"/>
    <w:rsid w:val="00316C19"/>
    <w:rsid w:val="00317046"/>
    <w:rsid w:val="003171ED"/>
    <w:rsid w:val="003173FA"/>
    <w:rsid w:val="0031771B"/>
    <w:rsid w:val="0031780B"/>
    <w:rsid w:val="00317C6B"/>
    <w:rsid w:val="003200D5"/>
    <w:rsid w:val="00320122"/>
    <w:rsid w:val="003203FD"/>
    <w:rsid w:val="0032089E"/>
    <w:rsid w:val="003209E9"/>
    <w:rsid w:val="00320A50"/>
    <w:rsid w:val="00320F77"/>
    <w:rsid w:val="00321262"/>
    <w:rsid w:val="00321D8E"/>
    <w:rsid w:val="00322174"/>
    <w:rsid w:val="003222A8"/>
    <w:rsid w:val="003222E1"/>
    <w:rsid w:val="0032257A"/>
    <w:rsid w:val="00322624"/>
    <w:rsid w:val="00322D4B"/>
    <w:rsid w:val="00322FB1"/>
    <w:rsid w:val="003234C7"/>
    <w:rsid w:val="00324366"/>
    <w:rsid w:val="0032447B"/>
    <w:rsid w:val="003247C7"/>
    <w:rsid w:val="00324A78"/>
    <w:rsid w:val="003250FE"/>
    <w:rsid w:val="0032578C"/>
    <w:rsid w:val="00325901"/>
    <w:rsid w:val="00325928"/>
    <w:rsid w:val="00325B3F"/>
    <w:rsid w:val="00325D5C"/>
    <w:rsid w:val="00325D9C"/>
    <w:rsid w:val="00326263"/>
    <w:rsid w:val="00326902"/>
    <w:rsid w:val="003269A8"/>
    <w:rsid w:val="00326A9C"/>
    <w:rsid w:val="00326C40"/>
    <w:rsid w:val="00327124"/>
    <w:rsid w:val="00327689"/>
    <w:rsid w:val="00327718"/>
    <w:rsid w:val="0032795C"/>
    <w:rsid w:val="00327F11"/>
    <w:rsid w:val="003306D7"/>
    <w:rsid w:val="00330809"/>
    <w:rsid w:val="00330AC8"/>
    <w:rsid w:val="00330F4B"/>
    <w:rsid w:val="00331215"/>
    <w:rsid w:val="003313D2"/>
    <w:rsid w:val="00331663"/>
    <w:rsid w:val="00331774"/>
    <w:rsid w:val="00331A24"/>
    <w:rsid w:val="00331BA4"/>
    <w:rsid w:val="00331FB5"/>
    <w:rsid w:val="00331FE7"/>
    <w:rsid w:val="003324D6"/>
    <w:rsid w:val="00332863"/>
    <w:rsid w:val="00332D44"/>
    <w:rsid w:val="00332DAE"/>
    <w:rsid w:val="00333A6C"/>
    <w:rsid w:val="003343DE"/>
    <w:rsid w:val="003344D4"/>
    <w:rsid w:val="00334FE5"/>
    <w:rsid w:val="003354F8"/>
    <w:rsid w:val="00335822"/>
    <w:rsid w:val="003361CC"/>
    <w:rsid w:val="0033638C"/>
    <w:rsid w:val="003363C7"/>
    <w:rsid w:val="003364EB"/>
    <w:rsid w:val="003367DA"/>
    <w:rsid w:val="0033684D"/>
    <w:rsid w:val="0033703F"/>
    <w:rsid w:val="0033764D"/>
    <w:rsid w:val="00337894"/>
    <w:rsid w:val="00337B42"/>
    <w:rsid w:val="00337BA0"/>
    <w:rsid w:val="00340044"/>
    <w:rsid w:val="00340381"/>
    <w:rsid w:val="00340578"/>
    <w:rsid w:val="00340612"/>
    <w:rsid w:val="003407A2"/>
    <w:rsid w:val="00340B44"/>
    <w:rsid w:val="0034157E"/>
    <w:rsid w:val="003416C0"/>
    <w:rsid w:val="00341B42"/>
    <w:rsid w:val="00341BD6"/>
    <w:rsid w:val="00341E9B"/>
    <w:rsid w:val="00341F76"/>
    <w:rsid w:val="003424A2"/>
    <w:rsid w:val="003425B2"/>
    <w:rsid w:val="00342A2A"/>
    <w:rsid w:val="00342ADD"/>
    <w:rsid w:val="00342BAA"/>
    <w:rsid w:val="00342E57"/>
    <w:rsid w:val="00342F1B"/>
    <w:rsid w:val="0034348F"/>
    <w:rsid w:val="0034368A"/>
    <w:rsid w:val="00344316"/>
    <w:rsid w:val="003443F9"/>
    <w:rsid w:val="0034475C"/>
    <w:rsid w:val="00345025"/>
    <w:rsid w:val="003457B2"/>
    <w:rsid w:val="003457E4"/>
    <w:rsid w:val="00345856"/>
    <w:rsid w:val="00345D1E"/>
    <w:rsid w:val="00345EDE"/>
    <w:rsid w:val="0034607C"/>
    <w:rsid w:val="00346EDF"/>
    <w:rsid w:val="003471E5"/>
    <w:rsid w:val="003476D1"/>
    <w:rsid w:val="003477B5"/>
    <w:rsid w:val="00347918"/>
    <w:rsid w:val="00347E4E"/>
    <w:rsid w:val="00347FA3"/>
    <w:rsid w:val="00350165"/>
    <w:rsid w:val="003503F8"/>
    <w:rsid w:val="00350799"/>
    <w:rsid w:val="003507A0"/>
    <w:rsid w:val="003507A8"/>
    <w:rsid w:val="003507F8"/>
    <w:rsid w:val="00350D6C"/>
    <w:rsid w:val="00350FED"/>
    <w:rsid w:val="0035117A"/>
    <w:rsid w:val="00351522"/>
    <w:rsid w:val="0035193A"/>
    <w:rsid w:val="00351E61"/>
    <w:rsid w:val="00351F94"/>
    <w:rsid w:val="00352505"/>
    <w:rsid w:val="003525AB"/>
    <w:rsid w:val="00352668"/>
    <w:rsid w:val="0035270D"/>
    <w:rsid w:val="00352730"/>
    <w:rsid w:val="0035324E"/>
    <w:rsid w:val="00353718"/>
    <w:rsid w:val="003537C7"/>
    <w:rsid w:val="003539C7"/>
    <w:rsid w:val="00353B2E"/>
    <w:rsid w:val="00353DC1"/>
    <w:rsid w:val="00354039"/>
    <w:rsid w:val="0035429F"/>
    <w:rsid w:val="00354BE8"/>
    <w:rsid w:val="00354C60"/>
    <w:rsid w:val="00354D71"/>
    <w:rsid w:val="00354DBE"/>
    <w:rsid w:val="00355124"/>
    <w:rsid w:val="003554DF"/>
    <w:rsid w:val="00355C26"/>
    <w:rsid w:val="00355CB9"/>
    <w:rsid w:val="00355E61"/>
    <w:rsid w:val="00356653"/>
    <w:rsid w:val="00357040"/>
    <w:rsid w:val="0035743F"/>
    <w:rsid w:val="00357621"/>
    <w:rsid w:val="00357893"/>
    <w:rsid w:val="00357BE2"/>
    <w:rsid w:val="00357DA2"/>
    <w:rsid w:val="003609F1"/>
    <w:rsid w:val="00360A8C"/>
    <w:rsid w:val="00360AF1"/>
    <w:rsid w:val="0036115D"/>
    <w:rsid w:val="0036170C"/>
    <w:rsid w:val="003619E5"/>
    <w:rsid w:val="003619FA"/>
    <w:rsid w:val="00361A4C"/>
    <w:rsid w:val="00361AAF"/>
    <w:rsid w:val="00361C60"/>
    <w:rsid w:val="00361C9F"/>
    <w:rsid w:val="00361EED"/>
    <w:rsid w:val="00362D00"/>
    <w:rsid w:val="00364D89"/>
    <w:rsid w:val="003650BD"/>
    <w:rsid w:val="003651AF"/>
    <w:rsid w:val="003652F6"/>
    <w:rsid w:val="0036584D"/>
    <w:rsid w:val="003659A1"/>
    <w:rsid w:val="00365B75"/>
    <w:rsid w:val="00365BAC"/>
    <w:rsid w:val="00365CFB"/>
    <w:rsid w:val="0036611E"/>
    <w:rsid w:val="003663D1"/>
    <w:rsid w:val="003664F1"/>
    <w:rsid w:val="003666E2"/>
    <w:rsid w:val="00366763"/>
    <w:rsid w:val="00366A7D"/>
    <w:rsid w:val="00366E0F"/>
    <w:rsid w:val="0036726D"/>
    <w:rsid w:val="0036739A"/>
    <w:rsid w:val="003676FF"/>
    <w:rsid w:val="00367813"/>
    <w:rsid w:val="00367816"/>
    <w:rsid w:val="0036787F"/>
    <w:rsid w:val="00367AA1"/>
    <w:rsid w:val="00367AD5"/>
    <w:rsid w:val="00367D95"/>
    <w:rsid w:val="00367FCC"/>
    <w:rsid w:val="0037030F"/>
    <w:rsid w:val="00370B70"/>
    <w:rsid w:val="00370B96"/>
    <w:rsid w:val="00370BD7"/>
    <w:rsid w:val="00370C6C"/>
    <w:rsid w:val="00370DE0"/>
    <w:rsid w:val="00370F9F"/>
    <w:rsid w:val="003714E5"/>
    <w:rsid w:val="0037176B"/>
    <w:rsid w:val="0037194D"/>
    <w:rsid w:val="00371BF0"/>
    <w:rsid w:val="00371EF6"/>
    <w:rsid w:val="003723CB"/>
    <w:rsid w:val="003723E0"/>
    <w:rsid w:val="0037284F"/>
    <w:rsid w:val="00372EBA"/>
    <w:rsid w:val="00372F72"/>
    <w:rsid w:val="00373031"/>
    <w:rsid w:val="003732B7"/>
    <w:rsid w:val="00373BB4"/>
    <w:rsid w:val="00373CAB"/>
    <w:rsid w:val="00374229"/>
    <w:rsid w:val="00374234"/>
    <w:rsid w:val="0037464F"/>
    <w:rsid w:val="0037469C"/>
    <w:rsid w:val="003746FE"/>
    <w:rsid w:val="00374D87"/>
    <w:rsid w:val="00375DC0"/>
    <w:rsid w:val="00376146"/>
    <w:rsid w:val="003763E8"/>
    <w:rsid w:val="0037642F"/>
    <w:rsid w:val="003765F5"/>
    <w:rsid w:val="00376EC9"/>
    <w:rsid w:val="00377360"/>
    <w:rsid w:val="003775A5"/>
    <w:rsid w:val="003775E1"/>
    <w:rsid w:val="00377F0E"/>
    <w:rsid w:val="00377F10"/>
    <w:rsid w:val="00380A9C"/>
    <w:rsid w:val="00381742"/>
    <w:rsid w:val="00381A72"/>
    <w:rsid w:val="00381B54"/>
    <w:rsid w:val="00382410"/>
    <w:rsid w:val="003824B9"/>
    <w:rsid w:val="00382714"/>
    <w:rsid w:val="003835F7"/>
    <w:rsid w:val="003836A8"/>
    <w:rsid w:val="00383739"/>
    <w:rsid w:val="00383962"/>
    <w:rsid w:val="00383B05"/>
    <w:rsid w:val="00384255"/>
    <w:rsid w:val="00384388"/>
    <w:rsid w:val="003844D3"/>
    <w:rsid w:val="0038462C"/>
    <w:rsid w:val="00384676"/>
    <w:rsid w:val="00384AB4"/>
    <w:rsid w:val="00384E20"/>
    <w:rsid w:val="00384E2E"/>
    <w:rsid w:val="00384F70"/>
    <w:rsid w:val="00385429"/>
    <w:rsid w:val="00385706"/>
    <w:rsid w:val="00385D0E"/>
    <w:rsid w:val="0038624F"/>
    <w:rsid w:val="0038628E"/>
    <w:rsid w:val="003866C1"/>
    <w:rsid w:val="00386B10"/>
    <w:rsid w:val="00386D36"/>
    <w:rsid w:val="00386D82"/>
    <w:rsid w:val="00386EC8"/>
    <w:rsid w:val="00386EEF"/>
    <w:rsid w:val="0038727B"/>
    <w:rsid w:val="0038742A"/>
    <w:rsid w:val="003875B3"/>
    <w:rsid w:val="00387818"/>
    <w:rsid w:val="00387B1E"/>
    <w:rsid w:val="003903A4"/>
    <w:rsid w:val="00390846"/>
    <w:rsid w:val="00390857"/>
    <w:rsid w:val="00390B48"/>
    <w:rsid w:val="00390D3E"/>
    <w:rsid w:val="00391156"/>
    <w:rsid w:val="00391DAB"/>
    <w:rsid w:val="00391EFF"/>
    <w:rsid w:val="003920E2"/>
    <w:rsid w:val="00392615"/>
    <w:rsid w:val="0039295A"/>
    <w:rsid w:val="0039375B"/>
    <w:rsid w:val="00394503"/>
    <w:rsid w:val="00394944"/>
    <w:rsid w:val="0039496D"/>
    <w:rsid w:val="00394BB2"/>
    <w:rsid w:val="00395207"/>
    <w:rsid w:val="0039540A"/>
    <w:rsid w:val="003956A4"/>
    <w:rsid w:val="0039590A"/>
    <w:rsid w:val="00395B88"/>
    <w:rsid w:val="0039601A"/>
    <w:rsid w:val="00396069"/>
    <w:rsid w:val="003960A0"/>
    <w:rsid w:val="0039630B"/>
    <w:rsid w:val="003969E8"/>
    <w:rsid w:val="00396BC3"/>
    <w:rsid w:val="00396D25"/>
    <w:rsid w:val="00396E19"/>
    <w:rsid w:val="00397188"/>
    <w:rsid w:val="003977AF"/>
    <w:rsid w:val="00397894"/>
    <w:rsid w:val="00397AFB"/>
    <w:rsid w:val="00397D60"/>
    <w:rsid w:val="00397EC1"/>
    <w:rsid w:val="00397FCC"/>
    <w:rsid w:val="003A0022"/>
    <w:rsid w:val="003A00A0"/>
    <w:rsid w:val="003A0329"/>
    <w:rsid w:val="003A0571"/>
    <w:rsid w:val="003A06FD"/>
    <w:rsid w:val="003A07A7"/>
    <w:rsid w:val="003A0A04"/>
    <w:rsid w:val="003A0BCE"/>
    <w:rsid w:val="003A0C9B"/>
    <w:rsid w:val="003A14B8"/>
    <w:rsid w:val="003A1603"/>
    <w:rsid w:val="003A1A39"/>
    <w:rsid w:val="003A1EEA"/>
    <w:rsid w:val="003A1FB7"/>
    <w:rsid w:val="003A2044"/>
    <w:rsid w:val="003A21B3"/>
    <w:rsid w:val="003A2674"/>
    <w:rsid w:val="003A283A"/>
    <w:rsid w:val="003A36CE"/>
    <w:rsid w:val="003A3751"/>
    <w:rsid w:val="003A3A4B"/>
    <w:rsid w:val="003A417D"/>
    <w:rsid w:val="003A44D1"/>
    <w:rsid w:val="003A496D"/>
    <w:rsid w:val="003A4AB0"/>
    <w:rsid w:val="003A4BF3"/>
    <w:rsid w:val="003A4D33"/>
    <w:rsid w:val="003A4E2E"/>
    <w:rsid w:val="003A555E"/>
    <w:rsid w:val="003A5CB8"/>
    <w:rsid w:val="003A621B"/>
    <w:rsid w:val="003A648A"/>
    <w:rsid w:val="003A65B0"/>
    <w:rsid w:val="003A72ED"/>
    <w:rsid w:val="003A76DC"/>
    <w:rsid w:val="003A7B5C"/>
    <w:rsid w:val="003A7BCE"/>
    <w:rsid w:val="003B02B3"/>
    <w:rsid w:val="003B0558"/>
    <w:rsid w:val="003B0C76"/>
    <w:rsid w:val="003B0EBE"/>
    <w:rsid w:val="003B13C7"/>
    <w:rsid w:val="003B1593"/>
    <w:rsid w:val="003B1ABE"/>
    <w:rsid w:val="003B1B3E"/>
    <w:rsid w:val="003B2567"/>
    <w:rsid w:val="003B28CB"/>
    <w:rsid w:val="003B2F93"/>
    <w:rsid w:val="003B3142"/>
    <w:rsid w:val="003B3471"/>
    <w:rsid w:val="003B3AB0"/>
    <w:rsid w:val="003B3D31"/>
    <w:rsid w:val="003B3E77"/>
    <w:rsid w:val="003B420D"/>
    <w:rsid w:val="003B44F4"/>
    <w:rsid w:val="003B45A1"/>
    <w:rsid w:val="003B4A5C"/>
    <w:rsid w:val="003B4F32"/>
    <w:rsid w:val="003B51A8"/>
    <w:rsid w:val="003B5928"/>
    <w:rsid w:val="003B6135"/>
    <w:rsid w:val="003B63A9"/>
    <w:rsid w:val="003B65FF"/>
    <w:rsid w:val="003B66A5"/>
    <w:rsid w:val="003B6751"/>
    <w:rsid w:val="003B676F"/>
    <w:rsid w:val="003B6B59"/>
    <w:rsid w:val="003B6D02"/>
    <w:rsid w:val="003B7253"/>
    <w:rsid w:val="003B728F"/>
    <w:rsid w:val="003B7E1F"/>
    <w:rsid w:val="003C00D9"/>
    <w:rsid w:val="003C0451"/>
    <w:rsid w:val="003C06F4"/>
    <w:rsid w:val="003C0775"/>
    <w:rsid w:val="003C0A83"/>
    <w:rsid w:val="003C0D27"/>
    <w:rsid w:val="003C176A"/>
    <w:rsid w:val="003C17F8"/>
    <w:rsid w:val="003C1940"/>
    <w:rsid w:val="003C217E"/>
    <w:rsid w:val="003C21DD"/>
    <w:rsid w:val="003C2283"/>
    <w:rsid w:val="003C23DB"/>
    <w:rsid w:val="003C249D"/>
    <w:rsid w:val="003C2EAB"/>
    <w:rsid w:val="003C3293"/>
    <w:rsid w:val="003C329F"/>
    <w:rsid w:val="003C339F"/>
    <w:rsid w:val="003C355D"/>
    <w:rsid w:val="003C3710"/>
    <w:rsid w:val="003C3860"/>
    <w:rsid w:val="003C3DEF"/>
    <w:rsid w:val="003C4024"/>
    <w:rsid w:val="003C4168"/>
    <w:rsid w:val="003C44FE"/>
    <w:rsid w:val="003C4775"/>
    <w:rsid w:val="003C4E47"/>
    <w:rsid w:val="003C518C"/>
    <w:rsid w:val="003C52BC"/>
    <w:rsid w:val="003C6A62"/>
    <w:rsid w:val="003C6A88"/>
    <w:rsid w:val="003C6C16"/>
    <w:rsid w:val="003C6DD0"/>
    <w:rsid w:val="003C7505"/>
    <w:rsid w:val="003C7623"/>
    <w:rsid w:val="003C765C"/>
    <w:rsid w:val="003C7917"/>
    <w:rsid w:val="003C7A84"/>
    <w:rsid w:val="003D0955"/>
    <w:rsid w:val="003D0C53"/>
    <w:rsid w:val="003D1372"/>
    <w:rsid w:val="003D1BB5"/>
    <w:rsid w:val="003D1C09"/>
    <w:rsid w:val="003D2011"/>
    <w:rsid w:val="003D22A9"/>
    <w:rsid w:val="003D2C38"/>
    <w:rsid w:val="003D2D68"/>
    <w:rsid w:val="003D372B"/>
    <w:rsid w:val="003D390A"/>
    <w:rsid w:val="003D3C48"/>
    <w:rsid w:val="003D3EEE"/>
    <w:rsid w:val="003D43F9"/>
    <w:rsid w:val="003D47E1"/>
    <w:rsid w:val="003D5000"/>
    <w:rsid w:val="003D5086"/>
    <w:rsid w:val="003D5BB6"/>
    <w:rsid w:val="003D5F86"/>
    <w:rsid w:val="003D6217"/>
    <w:rsid w:val="003D62A7"/>
    <w:rsid w:val="003D62FD"/>
    <w:rsid w:val="003D640A"/>
    <w:rsid w:val="003D6BC0"/>
    <w:rsid w:val="003D6CBF"/>
    <w:rsid w:val="003D72F5"/>
    <w:rsid w:val="003D7501"/>
    <w:rsid w:val="003D75DA"/>
    <w:rsid w:val="003D794D"/>
    <w:rsid w:val="003D79B0"/>
    <w:rsid w:val="003D7B68"/>
    <w:rsid w:val="003E00B6"/>
    <w:rsid w:val="003E00C3"/>
    <w:rsid w:val="003E01D6"/>
    <w:rsid w:val="003E032E"/>
    <w:rsid w:val="003E0443"/>
    <w:rsid w:val="003E0838"/>
    <w:rsid w:val="003E1B22"/>
    <w:rsid w:val="003E2163"/>
    <w:rsid w:val="003E3058"/>
    <w:rsid w:val="003E3257"/>
    <w:rsid w:val="003E359B"/>
    <w:rsid w:val="003E367D"/>
    <w:rsid w:val="003E4054"/>
    <w:rsid w:val="003E423F"/>
    <w:rsid w:val="003E4673"/>
    <w:rsid w:val="003E498D"/>
    <w:rsid w:val="003E4D79"/>
    <w:rsid w:val="003E5420"/>
    <w:rsid w:val="003E555F"/>
    <w:rsid w:val="003E5778"/>
    <w:rsid w:val="003E57AB"/>
    <w:rsid w:val="003E5850"/>
    <w:rsid w:val="003E5B72"/>
    <w:rsid w:val="003E5E41"/>
    <w:rsid w:val="003E64B5"/>
    <w:rsid w:val="003E698F"/>
    <w:rsid w:val="003E6A6E"/>
    <w:rsid w:val="003E6CF5"/>
    <w:rsid w:val="003E73E2"/>
    <w:rsid w:val="003E74AB"/>
    <w:rsid w:val="003E7668"/>
    <w:rsid w:val="003E76A9"/>
    <w:rsid w:val="003E790A"/>
    <w:rsid w:val="003E7E59"/>
    <w:rsid w:val="003F027F"/>
    <w:rsid w:val="003F0397"/>
    <w:rsid w:val="003F0587"/>
    <w:rsid w:val="003F0809"/>
    <w:rsid w:val="003F0894"/>
    <w:rsid w:val="003F0B02"/>
    <w:rsid w:val="003F12CB"/>
    <w:rsid w:val="003F1C6F"/>
    <w:rsid w:val="003F1DFA"/>
    <w:rsid w:val="003F202E"/>
    <w:rsid w:val="003F2158"/>
    <w:rsid w:val="003F2225"/>
    <w:rsid w:val="003F2237"/>
    <w:rsid w:val="003F26D6"/>
    <w:rsid w:val="003F31A0"/>
    <w:rsid w:val="003F35F7"/>
    <w:rsid w:val="003F3AC5"/>
    <w:rsid w:val="003F3DE1"/>
    <w:rsid w:val="003F3F42"/>
    <w:rsid w:val="003F4276"/>
    <w:rsid w:val="003F477B"/>
    <w:rsid w:val="003F48E3"/>
    <w:rsid w:val="003F4D91"/>
    <w:rsid w:val="003F52A7"/>
    <w:rsid w:val="003F568E"/>
    <w:rsid w:val="003F5794"/>
    <w:rsid w:val="003F5A6D"/>
    <w:rsid w:val="003F5D3D"/>
    <w:rsid w:val="003F61A9"/>
    <w:rsid w:val="003F6450"/>
    <w:rsid w:val="003F6764"/>
    <w:rsid w:val="003F6A8C"/>
    <w:rsid w:val="003F6FF6"/>
    <w:rsid w:val="003F755C"/>
    <w:rsid w:val="003F789E"/>
    <w:rsid w:val="003F7949"/>
    <w:rsid w:val="003F7B63"/>
    <w:rsid w:val="0040006B"/>
    <w:rsid w:val="0040042A"/>
    <w:rsid w:val="004007DE"/>
    <w:rsid w:val="0040096B"/>
    <w:rsid w:val="00400A83"/>
    <w:rsid w:val="00400EE0"/>
    <w:rsid w:val="004017CF"/>
    <w:rsid w:val="00401852"/>
    <w:rsid w:val="00401C19"/>
    <w:rsid w:val="00401C26"/>
    <w:rsid w:val="00401DB9"/>
    <w:rsid w:val="00402239"/>
    <w:rsid w:val="0040250E"/>
    <w:rsid w:val="00402737"/>
    <w:rsid w:val="00402B00"/>
    <w:rsid w:val="00402C40"/>
    <w:rsid w:val="00402CEE"/>
    <w:rsid w:val="00402E2C"/>
    <w:rsid w:val="00402EF0"/>
    <w:rsid w:val="00403AF9"/>
    <w:rsid w:val="00403B0C"/>
    <w:rsid w:val="00403B70"/>
    <w:rsid w:val="00403C94"/>
    <w:rsid w:val="00403E09"/>
    <w:rsid w:val="00403E96"/>
    <w:rsid w:val="0040408A"/>
    <w:rsid w:val="0040410B"/>
    <w:rsid w:val="004041C3"/>
    <w:rsid w:val="00404303"/>
    <w:rsid w:val="004043E9"/>
    <w:rsid w:val="004044EE"/>
    <w:rsid w:val="00404505"/>
    <w:rsid w:val="00404523"/>
    <w:rsid w:val="0040496B"/>
    <w:rsid w:val="00404C8C"/>
    <w:rsid w:val="004050A2"/>
    <w:rsid w:val="004050B2"/>
    <w:rsid w:val="0040540B"/>
    <w:rsid w:val="00405A36"/>
    <w:rsid w:val="0040656F"/>
    <w:rsid w:val="004066CD"/>
    <w:rsid w:val="00406C03"/>
    <w:rsid w:val="00406DEE"/>
    <w:rsid w:val="00406F01"/>
    <w:rsid w:val="0040722A"/>
    <w:rsid w:val="00407A1B"/>
    <w:rsid w:val="00410242"/>
    <w:rsid w:val="004103C9"/>
    <w:rsid w:val="00410CE9"/>
    <w:rsid w:val="00411432"/>
    <w:rsid w:val="0041148D"/>
    <w:rsid w:val="00411568"/>
    <w:rsid w:val="00411E38"/>
    <w:rsid w:val="00412588"/>
    <w:rsid w:val="00412C09"/>
    <w:rsid w:val="0041312C"/>
    <w:rsid w:val="00413369"/>
    <w:rsid w:val="00413424"/>
    <w:rsid w:val="0041374E"/>
    <w:rsid w:val="0041379A"/>
    <w:rsid w:val="00414288"/>
    <w:rsid w:val="00414331"/>
    <w:rsid w:val="0041462F"/>
    <w:rsid w:val="00415099"/>
    <w:rsid w:val="0041531E"/>
    <w:rsid w:val="004155C8"/>
    <w:rsid w:val="00415642"/>
    <w:rsid w:val="0041598F"/>
    <w:rsid w:val="00415DC2"/>
    <w:rsid w:val="00415EFC"/>
    <w:rsid w:val="0041616E"/>
    <w:rsid w:val="00416246"/>
    <w:rsid w:val="0041684D"/>
    <w:rsid w:val="0041694B"/>
    <w:rsid w:val="00416A75"/>
    <w:rsid w:val="00416D50"/>
    <w:rsid w:val="00416FD5"/>
    <w:rsid w:val="0041726A"/>
    <w:rsid w:val="00417423"/>
    <w:rsid w:val="0041756E"/>
    <w:rsid w:val="00417599"/>
    <w:rsid w:val="004175C6"/>
    <w:rsid w:val="00417772"/>
    <w:rsid w:val="00417A75"/>
    <w:rsid w:val="0042023E"/>
    <w:rsid w:val="00420CEA"/>
    <w:rsid w:val="00420D1C"/>
    <w:rsid w:val="00420D3D"/>
    <w:rsid w:val="00420E6A"/>
    <w:rsid w:val="00420E90"/>
    <w:rsid w:val="00420EFC"/>
    <w:rsid w:val="00421A75"/>
    <w:rsid w:val="004220A0"/>
    <w:rsid w:val="0042236E"/>
    <w:rsid w:val="004226A4"/>
    <w:rsid w:val="00422744"/>
    <w:rsid w:val="004229CD"/>
    <w:rsid w:val="004229F2"/>
    <w:rsid w:val="004231E6"/>
    <w:rsid w:val="004235DD"/>
    <w:rsid w:val="00423D4C"/>
    <w:rsid w:val="00423D6A"/>
    <w:rsid w:val="004240DA"/>
    <w:rsid w:val="0042489D"/>
    <w:rsid w:val="00424D05"/>
    <w:rsid w:val="00424D4E"/>
    <w:rsid w:val="00424E1D"/>
    <w:rsid w:val="0042523A"/>
    <w:rsid w:val="00425306"/>
    <w:rsid w:val="00425381"/>
    <w:rsid w:val="00425574"/>
    <w:rsid w:val="00425722"/>
    <w:rsid w:val="0042597E"/>
    <w:rsid w:val="00425A75"/>
    <w:rsid w:val="00425A9E"/>
    <w:rsid w:val="004260A4"/>
    <w:rsid w:val="004261FE"/>
    <w:rsid w:val="0042621C"/>
    <w:rsid w:val="0042638C"/>
    <w:rsid w:val="00426450"/>
    <w:rsid w:val="004266F2"/>
    <w:rsid w:val="00426718"/>
    <w:rsid w:val="0042673E"/>
    <w:rsid w:val="00426ACA"/>
    <w:rsid w:val="00426D6B"/>
    <w:rsid w:val="004279CC"/>
    <w:rsid w:val="00427BE3"/>
    <w:rsid w:val="00427EA8"/>
    <w:rsid w:val="004300FA"/>
    <w:rsid w:val="0043046B"/>
    <w:rsid w:val="0043047D"/>
    <w:rsid w:val="00430691"/>
    <w:rsid w:val="00430C37"/>
    <w:rsid w:val="00430C8B"/>
    <w:rsid w:val="00430CD6"/>
    <w:rsid w:val="00430F43"/>
    <w:rsid w:val="00431D71"/>
    <w:rsid w:val="00431E6C"/>
    <w:rsid w:val="00432A0F"/>
    <w:rsid w:val="00432A26"/>
    <w:rsid w:val="00432B3F"/>
    <w:rsid w:val="00432D80"/>
    <w:rsid w:val="00432DAE"/>
    <w:rsid w:val="00432F63"/>
    <w:rsid w:val="00433782"/>
    <w:rsid w:val="00433A96"/>
    <w:rsid w:val="00433CE7"/>
    <w:rsid w:val="00434176"/>
    <w:rsid w:val="0043440A"/>
    <w:rsid w:val="00434916"/>
    <w:rsid w:val="00434A62"/>
    <w:rsid w:val="00434ADF"/>
    <w:rsid w:val="00434E05"/>
    <w:rsid w:val="00434EFE"/>
    <w:rsid w:val="00435126"/>
    <w:rsid w:val="004357D6"/>
    <w:rsid w:val="0043591E"/>
    <w:rsid w:val="00435EF8"/>
    <w:rsid w:val="004369A0"/>
    <w:rsid w:val="00436FC0"/>
    <w:rsid w:val="00437290"/>
    <w:rsid w:val="004374A5"/>
    <w:rsid w:val="0043754A"/>
    <w:rsid w:val="00437999"/>
    <w:rsid w:val="004400A8"/>
    <w:rsid w:val="004401B9"/>
    <w:rsid w:val="00440A71"/>
    <w:rsid w:val="00440AE1"/>
    <w:rsid w:val="00440B17"/>
    <w:rsid w:val="00440DD0"/>
    <w:rsid w:val="00440FDA"/>
    <w:rsid w:val="0044132C"/>
    <w:rsid w:val="004413E3"/>
    <w:rsid w:val="004416F5"/>
    <w:rsid w:val="00441B3B"/>
    <w:rsid w:val="00441B3D"/>
    <w:rsid w:val="00441C07"/>
    <w:rsid w:val="00441D81"/>
    <w:rsid w:val="0044200D"/>
    <w:rsid w:val="00442079"/>
    <w:rsid w:val="004435C3"/>
    <w:rsid w:val="00443865"/>
    <w:rsid w:val="0044397F"/>
    <w:rsid w:val="00443C4D"/>
    <w:rsid w:val="00443E2E"/>
    <w:rsid w:val="00444228"/>
    <w:rsid w:val="0044458E"/>
    <w:rsid w:val="00444B29"/>
    <w:rsid w:val="004457B1"/>
    <w:rsid w:val="00445B20"/>
    <w:rsid w:val="00445ECE"/>
    <w:rsid w:val="00446756"/>
    <w:rsid w:val="0044687B"/>
    <w:rsid w:val="00446977"/>
    <w:rsid w:val="004479F4"/>
    <w:rsid w:val="00447AF3"/>
    <w:rsid w:val="004510DA"/>
    <w:rsid w:val="00451678"/>
    <w:rsid w:val="00451809"/>
    <w:rsid w:val="00451822"/>
    <w:rsid w:val="004519A2"/>
    <w:rsid w:val="00451ACC"/>
    <w:rsid w:val="00451C04"/>
    <w:rsid w:val="00451D87"/>
    <w:rsid w:val="00451FDB"/>
    <w:rsid w:val="0045241F"/>
    <w:rsid w:val="004524E0"/>
    <w:rsid w:val="00452738"/>
    <w:rsid w:val="004529D8"/>
    <w:rsid w:val="00452A88"/>
    <w:rsid w:val="00452ADA"/>
    <w:rsid w:val="00452E1C"/>
    <w:rsid w:val="00454043"/>
    <w:rsid w:val="004544A5"/>
    <w:rsid w:val="00454C3A"/>
    <w:rsid w:val="00454DE2"/>
    <w:rsid w:val="00454FCE"/>
    <w:rsid w:val="004553FE"/>
    <w:rsid w:val="00456091"/>
    <w:rsid w:val="00456240"/>
    <w:rsid w:val="00456261"/>
    <w:rsid w:val="0045629B"/>
    <w:rsid w:val="00456381"/>
    <w:rsid w:val="004569D6"/>
    <w:rsid w:val="004571CB"/>
    <w:rsid w:val="0045734F"/>
    <w:rsid w:val="004574CF"/>
    <w:rsid w:val="00457801"/>
    <w:rsid w:val="0046029A"/>
    <w:rsid w:val="0046036D"/>
    <w:rsid w:val="004606CF"/>
    <w:rsid w:val="00460CC6"/>
    <w:rsid w:val="00460FF1"/>
    <w:rsid w:val="004611D3"/>
    <w:rsid w:val="00461418"/>
    <w:rsid w:val="0046141D"/>
    <w:rsid w:val="00461E0D"/>
    <w:rsid w:val="00462364"/>
    <w:rsid w:val="004629C4"/>
    <w:rsid w:val="00462BE4"/>
    <w:rsid w:val="00462CFF"/>
    <w:rsid w:val="00462D3A"/>
    <w:rsid w:val="00462E83"/>
    <w:rsid w:val="0046328C"/>
    <w:rsid w:val="00463921"/>
    <w:rsid w:val="00463A31"/>
    <w:rsid w:val="00463C26"/>
    <w:rsid w:val="00463FEC"/>
    <w:rsid w:val="00464434"/>
    <w:rsid w:val="0046460F"/>
    <w:rsid w:val="00464716"/>
    <w:rsid w:val="00464DF6"/>
    <w:rsid w:val="00465449"/>
    <w:rsid w:val="0046564F"/>
    <w:rsid w:val="004658D3"/>
    <w:rsid w:val="00465936"/>
    <w:rsid w:val="00465BEB"/>
    <w:rsid w:val="00466321"/>
    <w:rsid w:val="00466674"/>
    <w:rsid w:val="0046691A"/>
    <w:rsid w:val="00466C54"/>
    <w:rsid w:val="00467188"/>
    <w:rsid w:val="004674B4"/>
    <w:rsid w:val="00467C9B"/>
    <w:rsid w:val="00470053"/>
    <w:rsid w:val="00470225"/>
    <w:rsid w:val="004703BE"/>
    <w:rsid w:val="004705A0"/>
    <w:rsid w:val="004711D5"/>
    <w:rsid w:val="00471270"/>
    <w:rsid w:val="0047144C"/>
    <w:rsid w:val="004715C2"/>
    <w:rsid w:val="004716F7"/>
    <w:rsid w:val="00471AC6"/>
    <w:rsid w:val="00471B3F"/>
    <w:rsid w:val="00472361"/>
    <w:rsid w:val="00472ABC"/>
    <w:rsid w:val="00472B27"/>
    <w:rsid w:val="00472B45"/>
    <w:rsid w:val="004730E0"/>
    <w:rsid w:val="00473686"/>
    <w:rsid w:val="00473A72"/>
    <w:rsid w:val="00473B9E"/>
    <w:rsid w:val="00473D0F"/>
    <w:rsid w:val="00473DA2"/>
    <w:rsid w:val="00473F77"/>
    <w:rsid w:val="004741F0"/>
    <w:rsid w:val="00474396"/>
    <w:rsid w:val="0047447D"/>
    <w:rsid w:val="004748B0"/>
    <w:rsid w:val="00474F49"/>
    <w:rsid w:val="00474F5B"/>
    <w:rsid w:val="0047534E"/>
    <w:rsid w:val="0047535C"/>
    <w:rsid w:val="004758B0"/>
    <w:rsid w:val="00475900"/>
    <w:rsid w:val="004762C5"/>
    <w:rsid w:val="004764AA"/>
    <w:rsid w:val="00476CEC"/>
    <w:rsid w:val="004771DA"/>
    <w:rsid w:val="00477954"/>
    <w:rsid w:val="00480004"/>
    <w:rsid w:val="00480839"/>
    <w:rsid w:val="00480857"/>
    <w:rsid w:val="00480863"/>
    <w:rsid w:val="00480B8C"/>
    <w:rsid w:val="00480BDB"/>
    <w:rsid w:val="00480FFE"/>
    <w:rsid w:val="004812FC"/>
    <w:rsid w:val="00481936"/>
    <w:rsid w:val="00481C50"/>
    <w:rsid w:val="00482153"/>
    <w:rsid w:val="0048230F"/>
    <w:rsid w:val="0048252D"/>
    <w:rsid w:val="004829D0"/>
    <w:rsid w:val="00482A8E"/>
    <w:rsid w:val="00483EEF"/>
    <w:rsid w:val="00483F26"/>
    <w:rsid w:val="00484264"/>
    <w:rsid w:val="00484660"/>
    <w:rsid w:val="004847C5"/>
    <w:rsid w:val="00484B3B"/>
    <w:rsid w:val="00484B9B"/>
    <w:rsid w:val="004855F6"/>
    <w:rsid w:val="0048572A"/>
    <w:rsid w:val="00485EB0"/>
    <w:rsid w:val="0048661E"/>
    <w:rsid w:val="00486C1E"/>
    <w:rsid w:val="00486FAF"/>
    <w:rsid w:val="004870BF"/>
    <w:rsid w:val="0048738E"/>
    <w:rsid w:val="00487DAE"/>
    <w:rsid w:val="00487F16"/>
    <w:rsid w:val="004906EA"/>
    <w:rsid w:val="00490889"/>
    <w:rsid w:val="00490E34"/>
    <w:rsid w:val="004917A2"/>
    <w:rsid w:val="004919E4"/>
    <w:rsid w:val="00491AD4"/>
    <w:rsid w:val="00491B15"/>
    <w:rsid w:val="00491DDC"/>
    <w:rsid w:val="00491F4E"/>
    <w:rsid w:val="00492028"/>
    <w:rsid w:val="0049212A"/>
    <w:rsid w:val="0049240C"/>
    <w:rsid w:val="00492A86"/>
    <w:rsid w:val="00492B53"/>
    <w:rsid w:val="0049321F"/>
    <w:rsid w:val="004933FD"/>
    <w:rsid w:val="00493939"/>
    <w:rsid w:val="0049393F"/>
    <w:rsid w:val="00493B0C"/>
    <w:rsid w:val="00494062"/>
    <w:rsid w:val="004940C4"/>
    <w:rsid w:val="00494670"/>
    <w:rsid w:val="00494A6B"/>
    <w:rsid w:val="00494E23"/>
    <w:rsid w:val="004954A5"/>
    <w:rsid w:val="004955F0"/>
    <w:rsid w:val="0049563E"/>
    <w:rsid w:val="004957CF"/>
    <w:rsid w:val="00495AC4"/>
    <w:rsid w:val="00495BDC"/>
    <w:rsid w:val="00495CEC"/>
    <w:rsid w:val="00495E45"/>
    <w:rsid w:val="00495FBD"/>
    <w:rsid w:val="00496582"/>
    <w:rsid w:val="00496E66"/>
    <w:rsid w:val="00497340"/>
    <w:rsid w:val="004973E3"/>
    <w:rsid w:val="004A065B"/>
    <w:rsid w:val="004A0962"/>
    <w:rsid w:val="004A1014"/>
    <w:rsid w:val="004A1091"/>
    <w:rsid w:val="004A1126"/>
    <w:rsid w:val="004A1460"/>
    <w:rsid w:val="004A14A4"/>
    <w:rsid w:val="004A14B7"/>
    <w:rsid w:val="004A1A45"/>
    <w:rsid w:val="004A1A51"/>
    <w:rsid w:val="004A1B6D"/>
    <w:rsid w:val="004A24E9"/>
    <w:rsid w:val="004A25B3"/>
    <w:rsid w:val="004A297E"/>
    <w:rsid w:val="004A2AC8"/>
    <w:rsid w:val="004A2BC6"/>
    <w:rsid w:val="004A2C41"/>
    <w:rsid w:val="004A2F1C"/>
    <w:rsid w:val="004A3823"/>
    <w:rsid w:val="004A383C"/>
    <w:rsid w:val="004A393A"/>
    <w:rsid w:val="004A3E39"/>
    <w:rsid w:val="004A40A6"/>
    <w:rsid w:val="004A4146"/>
    <w:rsid w:val="004A4813"/>
    <w:rsid w:val="004A4B2B"/>
    <w:rsid w:val="004A52F9"/>
    <w:rsid w:val="004A5A98"/>
    <w:rsid w:val="004A5B82"/>
    <w:rsid w:val="004A5F0E"/>
    <w:rsid w:val="004A61A4"/>
    <w:rsid w:val="004A6260"/>
    <w:rsid w:val="004A6E7B"/>
    <w:rsid w:val="004A6EE0"/>
    <w:rsid w:val="004A70AD"/>
    <w:rsid w:val="004A70E0"/>
    <w:rsid w:val="004A7359"/>
    <w:rsid w:val="004A7540"/>
    <w:rsid w:val="004A771E"/>
    <w:rsid w:val="004A79E8"/>
    <w:rsid w:val="004B0C3C"/>
    <w:rsid w:val="004B0ECF"/>
    <w:rsid w:val="004B112A"/>
    <w:rsid w:val="004B16E4"/>
    <w:rsid w:val="004B2AF3"/>
    <w:rsid w:val="004B341C"/>
    <w:rsid w:val="004B372E"/>
    <w:rsid w:val="004B3C83"/>
    <w:rsid w:val="004B3F0E"/>
    <w:rsid w:val="004B4579"/>
    <w:rsid w:val="004B459B"/>
    <w:rsid w:val="004B47D6"/>
    <w:rsid w:val="004B4981"/>
    <w:rsid w:val="004B4DF6"/>
    <w:rsid w:val="004B5565"/>
    <w:rsid w:val="004B56E3"/>
    <w:rsid w:val="004B5A0F"/>
    <w:rsid w:val="004B5A3A"/>
    <w:rsid w:val="004B5C65"/>
    <w:rsid w:val="004B5F0B"/>
    <w:rsid w:val="004B6175"/>
    <w:rsid w:val="004B687F"/>
    <w:rsid w:val="004B6CE8"/>
    <w:rsid w:val="004B6E3B"/>
    <w:rsid w:val="004B7118"/>
    <w:rsid w:val="004B74DC"/>
    <w:rsid w:val="004B7822"/>
    <w:rsid w:val="004B7BB1"/>
    <w:rsid w:val="004B7D73"/>
    <w:rsid w:val="004C017D"/>
    <w:rsid w:val="004C0192"/>
    <w:rsid w:val="004C0267"/>
    <w:rsid w:val="004C0332"/>
    <w:rsid w:val="004C0394"/>
    <w:rsid w:val="004C0655"/>
    <w:rsid w:val="004C0818"/>
    <w:rsid w:val="004C0841"/>
    <w:rsid w:val="004C11D7"/>
    <w:rsid w:val="004C16C4"/>
    <w:rsid w:val="004C2259"/>
    <w:rsid w:val="004C2336"/>
    <w:rsid w:val="004C2600"/>
    <w:rsid w:val="004C30D2"/>
    <w:rsid w:val="004C3465"/>
    <w:rsid w:val="004C34C2"/>
    <w:rsid w:val="004C3867"/>
    <w:rsid w:val="004C387C"/>
    <w:rsid w:val="004C3993"/>
    <w:rsid w:val="004C3B2D"/>
    <w:rsid w:val="004C465D"/>
    <w:rsid w:val="004C4668"/>
    <w:rsid w:val="004C4905"/>
    <w:rsid w:val="004C4AA7"/>
    <w:rsid w:val="004C5485"/>
    <w:rsid w:val="004C5494"/>
    <w:rsid w:val="004C5B1A"/>
    <w:rsid w:val="004C6377"/>
    <w:rsid w:val="004C64E1"/>
    <w:rsid w:val="004C66B5"/>
    <w:rsid w:val="004C67D9"/>
    <w:rsid w:val="004C6DE2"/>
    <w:rsid w:val="004C6F07"/>
    <w:rsid w:val="004C7038"/>
    <w:rsid w:val="004C70CC"/>
    <w:rsid w:val="004C71AD"/>
    <w:rsid w:val="004C722A"/>
    <w:rsid w:val="004C723C"/>
    <w:rsid w:val="004C760C"/>
    <w:rsid w:val="004C7AAE"/>
    <w:rsid w:val="004C7D32"/>
    <w:rsid w:val="004D05E5"/>
    <w:rsid w:val="004D0CFD"/>
    <w:rsid w:val="004D0F2D"/>
    <w:rsid w:val="004D0FFF"/>
    <w:rsid w:val="004D135D"/>
    <w:rsid w:val="004D1527"/>
    <w:rsid w:val="004D1545"/>
    <w:rsid w:val="004D1558"/>
    <w:rsid w:val="004D1D92"/>
    <w:rsid w:val="004D21E6"/>
    <w:rsid w:val="004D22FA"/>
    <w:rsid w:val="004D28E9"/>
    <w:rsid w:val="004D30B4"/>
    <w:rsid w:val="004D31AB"/>
    <w:rsid w:val="004D3274"/>
    <w:rsid w:val="004D34C0"/>
    <w:rsid w:val="004D386C"/>
    <w:rsid w:val="004D39C9"/>
    <w:rsid w:val="004D3B89"/>
    <w:rsid w:val="004D401C"/>
    <w:rsid w:val="004D4687"/>
    <w:rsid w:val="004D46BE"/>
    <w:rsid w:val="004D48BE"/>
    <w:rsid w:val="004D498A"/>
    <w:rsid w:val="004D4C31"/>
    <w:rsid w:val="004D4FF9"/>
    <w:rsid w:val="004D5036"/>
    <w:rsid w:val="004D5722"/>
    <w:rsid w:val="004D5B64"/>
    <w:rsid w:val="004D5CAE"/>
    <w:rsid w:val="004D6219"/>
    <w:rsid w:val="004D6760"/>
    <w:rsid w:val="004D67B4"/>
    <w:rsid w:val="004D6A99"/>
    <w:rsid w:val="004D6EEE"/>
    <w:rsid w:val="004D6FCB"/>
    <w:rsid w:val="004D77CE"/>
    <w:rsid w:val="004E0569"/>
    <w:rsid w:val="004E0586"/>
    <w:rsid w:val="004E07CF"/>
    <w:rsid w:val="004E090E"/>
    <w:rsid w:val="004E0EC7"/>
    <w:rsid w:val="004E1247"/>
    <w:rsid w:val="004E1881"/>
    <w:rsid w:val="004E1946"/>
    <w:rsid w:val="004E1987"/>
    <w:rsid w:val="004E19BD"/>
    <w:rsid w:val="004E1D84"/>
    <w:rsid w:val="004E2323"/>
    <w:rsid w:val="004E2590"/>
    <w:rsid w:val="004E25D3"/>
    <w:rsid w:val="004E2A43"/>
    <w:rsid w:val="004E3080"/>
    <w:rsid w:val="004E311E"/>
    <w:rsid w:val="004E35BA"/>
    <w:rsid w:val="004E3C82"/>
    <w:rsid w:val="004E4244"/>
    <w:rsid w:val="004E46D6"/>
    <w:rsid w:val="004E482E"/>
    <w:rsid w:val="004E48E4"/>
    <w:rsid w:val="004E4A9C"/>
    <w:rsid w:val="004E4B27"/>
    <w:rsid w:val="004E4FDF"/>
    <w:rsid w:val="004E51A4"/>
    <w:rsid w:val="004E5296"/>
    <w:rsid w:val="004E5540"/>
    <w:rsid w:val="004E5786"/>
    <w:rsid w:val="004E5DF4"/>
    <w:rsid w:val="004E5EE2"/>
    <w:rsid w:val="004E6946"/>
    <w:rsid w:val="004E70E3"/>
    <w:rsid w:val="004E7792"/>
    <w:rsid w:val="004E77E9"/>
    <w:rsid w:val="004E7994"/>
    <w:rsid w:val="004E7C5A"/>
    <w:rsid w:val="004F0386"/>
    <w:rsid w:val="004F0936"/>
    <w:rsid w:val="004F0AA4"/>
    <w:rsid w:val="004F0BAA"/>
    <w:rsid w:val="004F10A9"/>
    <w:rsid w:val="004F13E1"/>
    <w:rsid w:val="004F1AD8"/>
    <w:rsid w:val="004F1B57"/>
    <w:rsid w:val="004F1E92"/>
    <w:rsid w:val="004F210B"/>
    <w:rsid w:val="004F2C6C"/>
    <w:rsid w:val="004F3154"/>
    <w:rsid w:val="004F319C"/>
    <w:rsid w:val="004F342E"/>
    <w:rsid w:val="004F3940"/>
    <w:rsid w:val="004F3C00"/>
    <w:rsid w:val="004F3C55"/>
    <w:rsid w:val="004F4548"/>
    <w:rsid w:val="004F45F8"/>
    <w:rsid w:val="004F4C55"/>
    <w:rsid w:val="004F4DFC"/>
    <w:rsid w:val="004F4E3B"/>
    <w:rsid w:val="004F5411"/>
    <w:rsid w:val="004F5A8C"/>
    <w:rsid w:val="004F623B"/>
    <w:rsid w:val="004F6840"/>
    <w:rsid w:val="004F6889"/>
    <w:rsid w:val="004F6A15"/>
    <w:rsid w:val="004F6A3C"/>
    <w:rsid w:val="004F6ABC"/>
    <w:rsid w:val="004F6AC0"/>
    <w:rsid w:val="004F6C58"/>
    <w:rsid w:val="004F6EF1"/>
    <w:rsid w:val="004F6FE2"/>
    <w:rsid w:val="004F70DB"/>
    <w:rsid w:val="004F7C78"/>
    <w:rsid w:val="004F7E90"/>
    <w:rsid w:val="005011AA"/>
    <w:rsid w:val="00501588"/>
    <w:rsid w:val="005017EB"/>
    <w:rsid w:val="005022E3"/>
    <w:rsid w:val="0050285E"/>
    <w:rsid w:val="00502BFD"/>
    <w:rsid w:val="00502D22"/>
    <w:rsid w:val="00502DAB"/>
    <w:rsid w:val="00502FCE"/>
    <w:rsid w:val="00503404"/>
    <w:rsid w:val="00503431"/>
    <w:rsid w:val="00503551"/>
    <w:rsid w:val="005039CB"/>
    <w:rsid w:val="00503A48"/>
    <w:rsid w:val="00503B37"/>
    <w:rsid w:val="00503F2A"/>
    <w:rsid w:val="00504000"/>
    <w:rsid w:val="0050435F"/>
    <w:rsid w:val="005047FC"/>
    <w:rsid w:val="005048CE"/>
    <w:rsid w:val="00504B46"/>
    <w:rsid w:val="0050558F"/>
    <w:rsid w:val="005059BF"/>
    <w:rsid w:val="0050622F"/>
    <w:rsid w:val="00506286"/>
    <w:rsid w:val="005066B3"/>
    <w:rsid w:val="005067C2"/>
    <w:rsid w:val="00506CF4"/>
    <w:rsid w:val="00507022"/>
    <w:rsid w:val="0050710D"/>
    <w:rsid w:val="0050716D"/>
    <w:rsid w:val="00507230"/>
    <w:rsid w:val="0050728C"/>
    <w:rsid w:val="00507940"/>
    <w:rsid w:val="00507A26"/>
    <w:rsid w:val="00507B2C"/>
    <w:rsid w:val="00507C54"/>
    <w:rsid w:val="00507CE4"/>
    <w:rsid w:val="00507F30"/>
    <w:rsid w:val="00507F63"/>
    <w:rsid w:val="005103BD"/>
    <w:rsid w:val="00510813"/>
    <w:rsid w:val="00510BCC"/>
    <w:rsid w:val="005110ED"/>
    <w:rsid w:val="005115DF"/>
    <w:rsid w:val="00511788"/>
    <w:rsid w:val="00511990"/>
    <w:rsid w:val="00511BC1"/>
    <w:rsid w:val="00511DE0"/>
    <w:rsid w:val="00512004"/>
    <w:rsid w:val="00512879"/>
    <w:rsid w:val="00513079"/>
    <w:rsid w:val="00513A7E"/>
    <w:rsid w:val="00513AD3"/>
    <w:rsid w:val="00513B5F"/>
    <w:rsid w:val="005140CF"/>
    <w:rsid w:val="00514154"/>
    <w:rsid w:val="00514610"/>
    <w:rsid w:val="00514649"/>
    <w:rsid w:val="0051471D"/>
    <w:rsid w:val="00514870"/>
    <w:rsid w:val="00514931"/>
    <w:rsid w:val="00514A4A"/>
    <w:rsid w:val="00514B9B"/>
    <w:rsid w:val="00514D5F"/>
    <w:rsid w:val="00514DDF"/>
    <w:rsid w:val="00515022"/>
    <w:rsid w:val="00515642"/>
    <w:rsid w:val="005156B8"/>
    <w:rsid w:val="0051594D"/>
    <w:rsid w:val="00515FC7"/>
    <w:rsid w:val="0051647D"/>
    <w:rsid w:val="0051655C"/>
    <w:rsid w:val="00516671"/>
    <w:rsid w:val="00516762"/>
    <w:rsid w:val="00516B10"/>
    <w:rsid w:val="00516E88"/>
    <w:rsid w:val="005175C1"/>
    <w:rsid w:val="0051765D"/>
    <w:rsid w:val="00517764"/>
    <w:rsid w:val="005177EC"/>
    <w:rsid w:val="00517D28"/>
    <w:rsid w:val="00517D5E"/>
    <w:rsid w:val="00517F02"/>
    <w:rsid w:val="00517FC2"/>
    <w:rsid w:val="00517FEF"/>
    <w:rsid w:val="00520141"/>
    <w:rsid w:val="005201F5"/>
    <w:rsid w:val="005205E7"/>
    <w:rsid w:val="00520AAA"/>
    <w:rsid w:val="00520AFE"/>
    <w:rsid w:val="00520BF6"/>
    <w:rsid w:val="00520C33"/>
    <w:rsid w:val="00520EE6"/>
    <w:rsid w:val="005212E6"/>
    <w:rsid w:val="005219D2"/>
    <w:rsid w:val="00521A35"/>
    <w:rsid w:val="00521A5D"/>
    <w:rsid w:val="00521B57"/>
    <w:rsid w:val="00521B70"/>
    <w:rsid w:val="00521BEA"/>
    <w:rsid w:val="00521C0C"/>
    <w:rsid w:val="0052201F"/>
    <w:rsid w:val="005221A6"/>
    <w:rsid w:val="00522227"/>
    <w:rsid w:val="00522C88"/>
    <w:rsid w:val="00522EE1"/>
    <w:rsid w:val="0052311D"/>
    <w:rsid w:val="005234AA"/>
    <w:rsid w:val="005237C8"/>
    <w:rsid w:val="00523D9C"/>
    <w:rsid w:val="00524303"/>
    <w:rsid w:val="00524364"/>
    <w:rsid w:val="00524BF0"/>
    <w:rsid w:val="00524D9B"/>
    <w:rsid w:val="0052522E"/>
    <w:rsid w:val="00525463"/>
    <w:rsid w:val="00525586"/>
    <w:rsid w:val="0052564A"/>
    <w:rsid w:val="005258A2"/>
    <w:rsid w:val="00525B5A"/>
    <w:rsid w:val="00525D68"/>
    <w:rsid w:val="00525F71"/>
    <w:rsid w:val="00526780"/>
    <w:rsid w:val="00526914"/>
    <w:rsid w:val="00526CB6"/>
    <w:rsid w:val="00527008"/>
    <w:rsid w:val="00527396"/>
    <w:rsid w:val="005277D8"/>
    <w:rsid w:val="00527903"/>
    <w:rsid w:val="00527A6E"/>
    <w:rsid w:val="00530028"/>
    <w:rsid w:val="005306C5"/>
    <w:rsid w:val="00530770"/>
    <w:rsid w:val="0053077C"/>
    <w:rsid w:val="005308F7"/>
    <w:rsid w:val="00531007"/>
    <w:rsid w:val="005314A9"/>
    <w:rsid w:val="00531AFA"/>
    <w:rsid w:val="00531C9E"/>
    <w:rsid w:val="00531CF8"/>
    <w:rsid w:val="00531EC6"/>
    <w:rsid w:val="00532053"/>
    <w:rsid w:val="00532096"/>
    <w:rsid w:val="00532514"/>
    <w:rsid w:val="005327DD"/>
    <w:rsid w:val="005329A5"/>
    <w:rsid w:val="00532B2B"/>
    <w:rsid w:val="0053329E"/>
    <w:rsid w:val="00533852"/>
    <w:rsid w:val="00533D57"/>
    <w:rsid w:val="005340BA"/>
    <w:rsid w:val="005348A0"/>
    <w:rsid w:val="00534976"/>
    <w:rsid w:val="00534A50"/>
    <w:rsid w:val="0053518A"/>
    <w:rsid w:val="005351AB"/>
    <w:rsid w:val="00535301"/>
    <w:rsid w:val="00535A8A"/>
    <w:rsid w:val="00535D05"/>
    <w:rsid w:val="00535E53"/>
    <w:rsid w:val="00535F7C"/>
    <w:rsid w:val="005361ED"/>
    <w:rsid w:val="00536A37"/>
    <w:rsid w:val="00536BDB"/>
    <w:rsid w:val="00536C1C"/>
    <w:rsid w:val="00537BE5"/>
    <w:rsid w:val="00537BF2"/>
    <w:rsid w:val="00537E46"/>
    <w:rsid w:val="005400D5"/>
    <w:rsid w:val="005401AE"/>
    <w:rsid w:val="00540205"/>
    <w:rsid w:val="0054020F"/>
    <w:rsid w:val="00540328"/>
    <w:rsid w:val="0054057C"/>
    <w:rsid w:val="005405D3"/>
    <w:rsid w:val="0054096C"/>
    <w:rsid w:val="00540B31"/>
    <w:rsid w:val="0054111C"/>
    <w:rsid w:val="0054140F"/>
    <w:rsid w:val="00541C50"/>
    <w:rsid w:val="00541CC6"/>
    <w:rsid w:val="00541D63"/>
    <w:rsid w:val="00541F23"/>
    <w:rsid w:val="0054229B"/>
    <w:rsid w:val="0054231F"/>
    <w:rsid w:val="00542475"/>
    <w:rsid w:val="00542636"/>
    <w:rsid w:val="0054263F"/>
    <w:rsid w:val="00542698"/>
    <w:rsid w:val="00542E07"/>
    <w:rsid w:val="005430E9"/>
    <w:rsid w:val="005438D3"/>
    <w:rsid w:val="005439AD"/>
    <w:rsid w:val="00544112"/>
    <w:rsid w:val="0054419C"/>
    <w:rsid w:val="005446FF"/>
    <w:rsid w:val="00545228"/>
    <w:rsid w:val="00545424"/>
    <w:rsid w:val="00545F71"/>
    <w:rsid w:val="00546969"/>
    <w:rsid w:val="00546BB3"/>
    <w:rsid w:val="00546E72"/>
    <w:rsid w:val="0054713E"/>
    <w:rsid w:val="00547511"/>
    <w:rsid w:val="00547E95"/>
    <w:rsid w:val="00550692"/>
    <w:rsid w:val="00550BE2"/>
    <w:rsid w:val="00551125"/>
    <w:rsid w:val="0055137F"/>
    <w:rsid w:val="00551660"/>
    <w:rsid w:val="00551A2B"/>
    <w:rsid w:val="00551D11"/>
    <w:rsid w:val="005523B7"/>
    <w:rsid w:val="005524D0"/>
    <w:rsid w:val="00552A7E"/>
    <w:rsid w:val="00552C4C"/>
    <w:rsid w:val="00552D62"/>
    <w:rsid w:val="0055346F"/>
    <w:rsid w:val="00553685"/>
    <w:rsid w:val="00553D7B"/>
    <w:rsid w:val="005544DD"/>
    <w:rsid w:val="0055459A"/>
    <w:rsid w:val="005545AE"/>
    <w:rsid w:val="0055484B"/>
    <w:rsid w:val="005549A8"/>
    <w:rsid w:val="00554A51"/>
    <w:rsid w:val="00554A7B"/>
    <w:rsid w:val="00554B33"/>
    <w:rsid w:val="00554F38"/>
    <w:rsid w:val="00554F55"/>
    <w:rsid w:val="0055505F"/>
    <w:rsid w:val="00555314"/>
    <w:rsid w:val="00555509"/>
    <w:rsid w:val="0055572C"/>
    <w:rsid w:val="005558CB"/>
    <w:rsid w:val="00555935"/>
    <w:rsid w:val="00556001"/>
    <w:rsid w:val="005561C6"/>
    <w:rsid w:val="00556C25"/>
    <w:rsid w:val="00556F85"/>
    <w:rsid w:val="0055728F"/>
    <w:rsid w:val="005574B8"/>
    <w:rsid w:val="00557C68"/>
    <w:rsid w:val="00557CD1"/>
    <w:rsid w:val="00557CDB"/>
    <w:rsid w:val="00557EE0"/>
    <w:rsid w:val="00560094"/>
    <w:rsid w:val="005603E5"/>
    <w:rsid w:val="0056047A"/>
    <w:rsid w:val="005604F4"/>
    <w:rsid w:val="0056058E"/>
    <w:rsid w:val="005605B9"/>
    <w:rsid w:val="00560E64"/>
    <w:rsid w:val="0056106A"/>
    <w:rsid w:val="00561B90"/>
    <w:rsid w:val="005621A7"/>
    <w:rsid w:val="005621F0"/>
    <w:rsid w:val="00562B44"/>
    <w:rsid w:val="00562CAA"/>
    <w:rsid w:val="00562DEF"/>
    <w:rsid w:val="005631EA"/>
    <w:rsid w:val="005632DB"/>
    <w:rsid w:val="005633A2"/>
    <w:rsid w:val="00563E5F"/>
    <w:rsid w:val="00563E91"/>
    <w:rsid w:val="00564537"/>
    <w:rsid w:val="005646B7"/>
    <w:rsid w:val="00564A43"/>
    <w:rsid w:val="0056585B"/>
    <w:rsid w:val="00565CAE"/>
    <w:rsid w:val="00565D95"/>
    <w:rsid w:val="00566216"/>
    <w:rsid w:val="0056663D"/>
    <w:rsid w:val="00566697"/>
    <w:rsid w:val="005666C5"/>
    <w:rsid w:val="00566C52"/>
    <w:rsid w:val="0056777B"/>
    <w:rsid w:val="00567D4B"/>
    <w:rsid w:val="00570313"/>
    <w:rsid w:val="00570394"/>
    <w:rsid w:val="0057043E"/>
    <w:rsid w:val="0057090C"/>
    <w:rsid w:val="00570CF0"/>
    <w:rsid w:val="00570F33"/>
    <w:rsid w:val="0057104A"/>
    <w:rsid w:val="005711D0"/>
    <w:rsid w:val="00571214"/>
    <w:rsid w:val="005715FC"/>
    <w:rsid w:val="00571A9F"/>
    <w:rsid w:val="00571BD6"/>
    <w:rsid w:val="00571F6D"/>
    <w:rsid w:val="005720AE"/>
    <w:rsid w:val="0057243A"/>
    <w:rsid w:val="005727D4"/>
    <w:rsid w:val="00572BF6"/>
    <w:rsid w:val="00572C19"/>
    <w:rsid w:val="00572EFF"/>
    <w:rsid w:val="005739AC"/>
    <w:rsid w:val="00573D8F"/>
    <w:rsid w:val="00575020"/>
    <w:rsid w:val="005750BC"/>
    <w:rsid w:val="00575585"/>
    <w:rsid w:val="00575AC3"/>
    <w:rsid w:val="00576493"/>
    <w:rsid w:val="005765FC"/>
    <w:rsid w:val="005768FB"/>
    <w:rsid w:val="00576BA7"/>
    <w:rsid w:val="00576BCA"/>
    <w:rsid w:val="00576EEE"/>
    <w:rsid w:val="0057712A"/>
    <w:rsid w:val="005772AA"/>
    <w:rsid w:val="005779FF"/>
    <w:rsid w:val="00577E36"/>
    <w:rsid w:val="00577F64"/>
    <w:rsid w:val="00577F7B"/>
    <w:rsid w:val="00580110"/>
    <w:rsid w:val="005805D5"/>
    <w:rsid w:val="005806F7"/>
    <w:rsid w:val="00580ACD"/>
    <w:rsid w:val="00580B0B"/>
    <w:rsid w:val="00580DE7"/>
    <w:rsid w:val="00580FA5"/>
    <w:rsid w:val="005810CB"/>
    <w:rsid w:val="00581166"/>
    <w:rsid w:val="0058116F"/>
    <w:rsid w:val="00581338"/>
    <w:rsid w:val="005814EF"/>
    <w:rsid w:val="0058166F"/>
    <w:rsid w:val="00581676"/>
    <w:rsid w:val="00581684"/>
    <w:rsid w:val="0058195A"/>
    <w:rsid w:val="00581BAF"/>
    <w:rsid w:val="00581DEE"/>
    <w:rsid w:val="005821DA"/>
    <w:rsid w:val="005822EE"/>
    <w:rsid w:val="00582394"/>
    <w:rsid w:val="00582579"/>
    <w:rsid w:val="00582661"/>
    <w:rsid w:val="005827E4"/>
    <w:rsid w:val="00582AAE"/>
    <w:rsid w:val="00582D29"/>
    <w:rsid w:val="005838C8"/>
    <w:rsid w:val="0058428E"/>
    <w:rsid w:val="005843DD"/>
    <w:rsid w:val="00584963"/>
    <w:rsid w:val="00584BB8"/>
    <w:rsid w:val="005851A6"/>
    <w:rsid w:val="005859C7"/>
    <w:rsid w:val="00585C0B"/>
    <w:rsid w:val="00585F04"/>
    <w:rsid w:val="00586624"/>
    <w:rsid w:val="00586DFD"/>
    <w:rsid w:val="00587158"/>
    <w:rsid w:val="005873BF"/>
    <w:rsid w:val="00587901"/>
    <w:rsid w:val="00587977"/>
    <w:rsid w:val="00587992"/>
    <w:rsid w:val="00587C91"/>
    <w:rsid w:val="00587EF2"/>
    <w:rsid w:val="005904E1"/>
    <w:rsid w:val="00590695"/>
    <w:rsid w:val="00590827"/>
    <w:rsid w:val="005908CE"/>
    <w:rsid w:val="00590EFC"/>
    <w:rsid w:val="00591755"/>
    <w:rsid w:val="00591A2B"/>
    <w:rsid w:val="00591DBD"/>
    <w:rsid w:val="00592010"/>
    <w:rsid w:val="0059221C"/>
    <w:rsid w:val="00592721"/>
    <w:rsid w:val="005927A9"/>
    <w:rsid w:val="005928FB"/>
    <w:rsid w:val="00592A3F"/>
    <w:rsid w:val="00593B5C"/>
    <w:rsid w:val="00593B65"/>
    <w:rsid w:val="00593BDA"/>
    <w:rsid w:val="00593BEC"/>
    <w:rsid w:val="00593E7F"/>
    <w:rsid w:val="00593F3B"/>
    <w:rsid w:val="005942A9"/>
    <w:rsid w:val="0059478C"/>
    <w:rsid w:val="0059484B"/>
    <w:rsid w:val="0059497B"/>
    <w:rsid w:val="00594A93"/>
    <w:rsid w:val="00594D77"/>
    <w:rsid w:val="005954BB"/>
    <w:rsid w:val="00595961"/>
    <w:rsid w:val="005963B1"/>
    <w:rsid w:val="005965A6"/>
    <w:rsid w:val="0059671C"/>
    <w:rsid w:val="005967D5"/>
    <w:rsid w:val="005969E4"/>
    <w:rsid w:val="00596CFD"/>
    <w:rsid w:val="005972C1"/>
    <w:rsid w:val="005975D4"/>
    <w:rsid w:val="00597D4E"/>
    <w:rsid w:val="005A00A6"/>
    <w:rsid w:val="005A05DE"/>
    <w:rsid w:val="005A06B7"/>
    <w:rsid w:val="005A14A0"/>
    <w:rsid w:val="005A1512"/>
    <w:rsid w:val="005A1759"/>
    <w:rsid w:val="005A17D0"/>
    <w:rsid w:val="005A199E"/>
    <w:rsid w:val="005A1A06"/>
    <w:rsid w:val="005A1C3E"/>
    <w:rsid w:val="005A1FF8"/>
    <w:rsid w:val="005A282B"/>
    <w:rsid w:val="005A2AE1"/>
    <w:rsid w:val="005A2D1C"/>
    <w:rsid w:val="005A2D67"/>
    <w:rsid w:val="005A2E9A"/>
    <w:rsid w:val="005A32C8"/>
    <w:rsid w:val="005A37AE"/>
    <w:rsid w:val="005A3B26"/>
    <w:rsid w:val="005A4455"/>
    <w:rsid w:val="005A4A0A"/>
    <w:rsid w:val="005A4BB8"/>
    <w:rsid w:val="005A4E59"/>
    <w:rsid w:val="005A5617"/>
    <w:rsid w:val="005A56B9"/>
    <w:rsid w:val="005A5AA1"/>
    <w:rsid w:val="005A5CCA"/>
    <w:rsid w:val="005A61F8"/>
    <w:rsid w:val="005A62E1"/>
    <w:rsid w:val="005A68A7"/>
    <w:rsid w:val="005A6D66"/>
    <w:rsid w:val="005A6E81"/>
    <w:rsid w:val="005A765D"/>
    <w:rsid w:val="005A7983"/>
    <w:rsid w:val="005A7B87"/>
    <w:rsid w:val="005A7BA1"/>
    <w:rsid w:val="005A7BDD"/>
    <w:rsid w:val="005A7D94"/>
    <w:rsid w:val="005A7E23"/>
    <w:rsid w:val="005B0231"/>
    <w:rsid w:val="005B036E"/>
    <w:rsid w:val="005B0CD9"/>
    <w:rsid w:val="005B0D36"/>
    <w:rsid w:val="005B0DDC"/>
    <w:rsid w:val="005B1659"/>
    <w:rsid w:val="005B1855"/>
    <w:rsid w:val="005B1A0F"/>
    <w:rsid w:val="005B1F45"/>
    <w:rsid w:val="005B21B1"/>
    <w:rsid w:val="005B21F0"/>
    <w:rsid w:val="005B288A"/>
    <w:rsid w:val="005B2ABB"/>
    <w:rsid w:val="005B2BE5"/>
    <w:rsid w:val="005B2D15"/>
    <w:rsid w:val="005B33AB"/>
    <w:rsid w:val="005B3559"/>
    <w:rsid w:val="005B36A6"/>
    <w:rsid w:val="005B37F6"/>
    <w:rsid w:val="005B3C58"/>
    <w:rsid w:val="005B3CD6"/>
    <w:rsid w:val="005B40BF"/>
    <w:rsid w:val="005B4218"/>
    <w:rsid w:val="005B47B5"/>
    <w:rsid w:val="005B4942"/>
    <w:rsid w:val="005B4986"/>
    <w:rsid w:val="005B49A4"/>
    <w:rsid w:val="005B4A25"/>
    <w:rsid w:val="005B4A47"/>
    <w:rsid w:val="005B4BA0"/>
    <w:rsid w:val="005B4F5A"/>
    <w:rsid w:val="005B51A8"/>
    <w:rsid w:val="005B523C"/>
    <w:rsid w:val="005B5306"/>
    <w:rsid w:val="005B58CF"/>
    <w:rsid w:val="005B5D0E"/>
    <w:rsid w:val="005B5D3F"/>
    <w:rsid w:val="005B5DB5"/>
    <w:rsid w:val="005B5E45"/>
    <w:rsid w:val="005B6848"/>
    <w:rsid w:val="005B686A"/>
    <w:rsid w:val="005B7512"/>
    <w:rsid w:val="005B7726"/>
    <w:rsid w:val="005B7813"/>
    <w:rsid w:val="005B78C6"/>
    <w:rsid w:val="005B7AB5"/>
    <w:rsid w:val="005C0016"/>
    <w:rsid w:val="005C0184"/>
    <w:rsid w:val="005C0236"/>
    <w:rsid w:val="005C046A"/>
    <w:rsid w:val="005C0683"/>
    <w:rsid w:val="005C0A68"/>
    <w:rsid w:val="005C1204"/>
    <w:rsid w:val="005C16F5"/>
    <w:rsid w:val="005C1974"/>
    <w:rsid w:val="005C1E15"/>
    <w:rsid w:val="005C1EA8"/>
    <w:rsid w:val="005C20D5"/>
    <w:rsid w:val="005C215E"/>
    <w:rsid w:val="005C2D6B"/>
    <w:rsid w:val="005C34CD"/>
    <w:rsid w:val="005C373F"/>
    <w:rsid w:val="005C38D2"/>
    <w:rsid w:val="005C458C"/>
    <w:rsid w:val="005C47B4"/>
    <w:rsid w:val="005C480D"/>
    <w:rsid w:val="005C4B97"/>
    <w:rsid w:val="005C4EE2"/>
    <w:rsid w:val="005C5448"/>
    <w:rsid w:val="005C5451"/>
    <w:rsid w:val="005C55E3"/>
    <w:rsid w:val="005C5A32"/>
    <w:rsid w:val="005C5B8A"/>
    <w:rsid w:val="005C5FD2"/>
    <w:rsid w:val="005C60CD"/>
    <w:rsid w:val="005C60D2"/>
    <w:rsid w:val="005C6680"/>
    <w:rsid w:val="005C6737"/>
    <w:rsid w:val="005C67E1"/>
    <w:rsid w:val="005C6C8C"/>
    <w:rsid w:val="005C6CD4"/>
    <w:rsid w:val="005C70DB"/>
    <w:rsid w:val="005C7157"/>
    <w:rsid w:val="005C728F"/>
    <w:rsid w:val="005C7468"/>
    <w:rsid w:val="005C775A"/>
    <w:rsid w:val="005C7EAE"/>
    <w:rsid w:val="005C7F51"/>
    <w:rsid w:val="005D0001"/>
    <w:rsid w:val="005D012F"/>
    <w:rsid w:val="005D0778"/>
    <w:rsid w:val="005D07F0"/>
    <w:rsid w:val="005D102E"/>
    <w:rsid w:val="005D104C"/>
    <w:rsid w:val="005D110F"/>
    <w:rsid w:val="005D1C3A"/>
    <w:rsid w:val="005D23B0"/>
    <w:rsid w:val="005D28F7"/>
    <w:rsid w:val="005D2D18"/>
    <w:rsid w:val="005D3021"/>
    <w:rsid w:val="005D36AB"/>
    <w:rsid w:val="005D38BD"/>
    <w:rsid w:val="005D3AE2"/>
    <w:rsid w:val="005D4FEF"/>
    <w:rsid w:val="005D50E0"/>
    <w:rsid w:val="005D51C1"/>
    <w:rsid w:val="005D54FF"/>
    <w:rsid w:val="005D5535"/>
    <w:rsid w:val="005D5578"/>
    <w:rsid w:val="005D5621"/>
    <w:rsid w:val="005D5D48"/>
    <w:rsid w:val="005D5E93"/>
    <w:rsid w:val="005D5F44"/>
    <w:rsid w:val="005D62C4"/>
    <w:rsid w:val="005D64BD"/>
    <w:rsid w:val="005D6657"/>
    <w:rsid w:val="005D6870"/>
    <w:rsid w:val="005D6F37"/>
    <w:rsid w:val="005D7040"/>
    <w:rsid w:val="005D7477"/>
    <w:rsid w:val="005D7782"/>
    <w:rsid w:val="005D796E"/>
    <w:rsid w:val="005D7BC9"/>
    <w:rsid w:val="005E0409"/>
    <w:rsid w:val="005E0886"/>
    <w:rsid w:val="005E08E2"/>
    <w:rsid w:val="005E0A42"/>
    <w:rsid w:val="005E0EEB"/>
    <w:rsid w:val="005E1432"/>
    <w:rsid w:val="005E14F8"/>
    <w:rsid w:val="005E189B"/>
    <w:rsid w:val="005E23DE"/>
    <w:rsid w:val="005E2D41"/>
    <w:rsid w:val="005E35C2"/>
    <w:rsid w:val="005E3868"/>
    <w:rsid w:val="005E3961"/>
    <w:rsid w:val="005E3D57"/>
    <w:rsid w:val="005E4019"/>
    <w:rsid w:val="005E4165"/>
    <w:rsid w:val="005E417D"/>
    <w:rsid w:val="005E4695"/>
    <w:rsid w:val="005E4A9B"/>
    <w:rsid w:val="005E4AA5"/>
    <w:rsid w:val="005E4B54"/>
    <w:rsid w:val="005E572A"/>
    <w:rsid w:val="005E5A9B"/>
    <w:rsid w:val="005E5AD3"/>
    <w:rsid w:val="005E6816"/>
    <w:rsid w:val="005E6D58"/>
    <w:rsid w:val="005E7577"/>
    <w:rsid w:val="005E7919"/>
    <w:rsid w:val="005F0148"/>
    <w:rsid w:val="005F0298"/>
    <w:rsid w:val="005F0513"/>
    <w:rsid w:val="005F08BE"/>
    <w:rsid w:val="005F0AD8"/>
    <w:rsid w:val="005F0C37"/>
    <w:rsid w:val="005F0CEC"/>
    <w:rsid w:val="005F1014"/>
    <w:rsid w:val="005F103C"/>
    <w:rsid w:val="005F1262"/>
    <w:rsid w:val="005F1391"/>
    <w:rsid w:val="005F13C9"/>
    <w:rsid w:val="005F13D5"/>
    <w:rsid w:val="005F159C"/>
    <w:rsid w:val="005F17A7"/>
    <w:rsid w:val="005F1916"/>
    <w:rsid w:val="005F1D4B"/>
    <w:rsid w:val="005F1DF2"/>
    <w:rsid w:val="005F1EED"/>
    <w:rsid w:val="005F20DD"/>
    <w:rsid w:val="005F2785"/>
    <w:rsid w:val="005F285C"/>
    <w:rsid w:val="005F2C4A"/>
    <w:rsid w:val="005F2DAF"/>
    <w:rsid w:val="005F33D3"/>
    <w:rsid w:val="005F34D2"/>
    <w:rsid w:val="005F3A7B"/>
    <w:rsid w:val="005F3C9F"/>
    <w:rsid w:val="005F40B4"/>
    <w:rsid w:val="005F4133"/>
    <w:rsid w:val="005F43F4"/>
    <w:rsid w:val="005F45D7"/>
    <w:rsid w:val="005F4743"/>
    <w:rsid w:val="005F47D1"/>
    <w:rsid w:val="005F4974"/>
    <w:rsid w:val="005F4AF5"/>
    <w:rsid w:val="005F4DBD"/>
    <w:rsid w:val="005F4FB1"/>
    <w:rsid w:val="005F51D2"/>
    <w:rsid w:val="005F56A8"/>
    <w:rsid w:val="005F5F3F"/>
    <w:rsid w:val="005F635E"/>
    <w:rsid w:val="005F6362"/>
    <w:rsid w:val="005F6B63"/>
    <w:rsid w:val="005F7019"/>
    <w:rsid w:val="005F73A2"/>
    <w:rsid w:val="005F73AF"/>
    <w:rsid w:val="005F76E3"/>
    <w:rsid w:val="005F7B32"/>
    <w:rsid w:val="00600136"/>
    <w:rsid w:val="006003D9"/>
    <w:rsid w:val="0060076F"/>
    <w:rsid w:val="006008A0"/>
    <w:rsid w:val="00600930"/>
    <w:rsid w:val="00600D92"/>
    <w:rsid w:val="00601127"/>
    <w:rsid w:val="0060114E"/>
    <w:rsid w:val="006013BD"/>
    <w:rsid w:val="006013C3"/>
    <w:rsid w:val="00601C9C"/>
    <w:rsid w:val="006023F0"/>
    <w:rsid w:val="00602625"/>
    <w:rsid w:val="00602F7C"/>
    <w:rsid w:val="00603034"/>
    <w:rsid w:val="00603072"/>
    <w:rsid w:val="0060341E"/>
    <w:rsid w:val="006035A1"/>
    <w:rsid w:val="006036E6"/>
    <w:rsid w:val="00603773"/>
    <w:rsid w:val="0060378A"/>
    <w:rsid w:val="00603A0A"/>
    <w:rsid w:val="00603D29"/>
    <w:rsid w:val="00604418"/>
    <w:rsid w:val="00604773"/>
    <w:rsid w:val="00604A4F"/>
    <w:rsid w:val="00604D43"/>
    <w:rsid w:val="0060534E"/>
    <w:rsid w:val="00605635"/>
    <w:rsid w:val="00605754"/>
    <w:rsid w:val="00605830"/>
    <w:rsid w:val="00605993"/>
    <w:rsid w:val="0060628F"/>
    <w:rsid w:val="006067C4"/>
    <w:rsid w:val="00606A74"/>
    <w:rsid w:val="00607236"/>
    <w:rsid w:val="00607601"/>
    <w:rsid w:val="00607908"/>
    <w:rsid w:val="0060790B"/>
    <w:rsid w:val="0060794A"/>
    <w:rsid w:val="00607A45"/>
    <w:rsid w:val="00607CBF"/>
    <w:rsid w:val="006102CA"/>
    <w:rsid w:val="006103A4"/>
    <w:rsid w:val="00610B2C"/>
    <w:rsid w:val="00611186"/>
    <w:rsid w:val="0061198F"/>
    <w:rsid w:val="00611C88"/>
    <w:rsid w:val="00611E30"/>
    <w:rsid w:val="006122B6"/>
    <w:rsid w:val="006122C7"/>
    <w:rsid w:val="00612931"/>
    <w:rsid w:val="006134D2"/>
    <w:rsid w:val="0061355A"/>
    <w:rsid w:val="00613A1A"/>
    <w:rsid w:val="0061431A"/>
    <w:rsid w:val="0061492A"/>
    <w:rsid w:val="00614C94"/>
    <w:rsid w:val="00615222"/>
    <w:rsid w:val="00615852"/>
    <w:rsid w:val="00615DBA"/>
    <w:rsid w:val="00616873"/>
    <w:rsid w:val="00616C4B"/>
    <w:rsid w:val="00617042"/>
    <w:rsid w:val="00617441"/>
    <w:rsid w:val="00617652"/>
    <w:rsid w:val="00617AE3"/>
    <w:rsid w:val="00617B4E"/>
    <w:rsid w:val="00617CC3"/>
    <w:rsid w:val="00620065"/>
    <w:rsid w:val="00620372"/>
    <w:rsid w:val="00620603"/>
    <w:rsid w:val="00620719"/>
    <w:rsid w:val="0062079A"/>
    <w:rsid w:val="0062090E"/>
    <w:rsid w:val="00620999"/>
    <w:rsid w:val="00620AB5"/>
    <w:rsid w:val="0062148C"/>
    <w:rsid w:val="006217CA"/>
    <w:rsid w:val="00621C77"/>
    <w:rsid w:val="00621F73"/>
    <w:rsid w:val="00622018"/>
    <w:rsid w:val="00622ED8"/>
    <w:rsid w:val="00622FE1"/>
    <w:rsid w:val="00623979"/>
    <w:rsid w:val="00623B03"/>
    <w:rsid w:val="00623DA9"/>
    <w:rsid w:val="00623DCC"/>
    <w:rsid w:val="00624035"/>
    <w:rsid w:val="0062441A"/>
    <w:rsid w:val="00624532"/>
    <w:rsid w:val="00624A36"/>
    <w:rsid w:val="00624A3F"/>
    <w:rsid w:val="00624BA1"/>
    <w:rsid w:val="00624F27"/>
    <w:rsid w:val="00624F80"/>
    <w:rsid w:val="006255E1"/>
    <w:rsid w:val="00625E39"/>
    <w:rsid w:val="00625EAC"/>
    <w:rsid w:val="00625FFE"/>
    <w:rsid w:val="00626117"/>
    <w:rsid w:val="006264F9"/>
    <w:rsid w:val="006265D8"/>
    <w:rsid w:val="006266ED"/>
    <w:rsid w:val="0062690D"/>
    <w:rsid w:val="00626BFD"/>
    <w:rsid w:val="00627194"/>
    <w:rsid w:val="0062762E"/>
    <w:rsid w:val="00627854"/>
    <w:rsid w:val="0062785C"/>
    <w:rsid w:val="006279F2"/>
    <w:rsid w:val="00627A1E"/>
    <w:rsid w:val="00627D20"/>
    <w:rsid w:val="00630079"/>
    <w:rsid w:val="0063053C"/>
    <w:rsid w:val="00630620"/>
    <w:rsid w:val="00630677"/>
    <w:rsid w:val="00630E3E"/>
    <w:rsid w:val="006316C7"/>
    <w:rsid w:val="00631DCC"/>
    <w:rsid w:val="00631EAC"/>
    <w:rsid w:val="0063249E"/>
    <w:rsid w:val="0063285D"/>
    <w:rsid w:val="00633044"/>
    <w:rsid w:val="00633359"/>
    <w:rsid w:val="00633B7F"/>
    <w:rsid w:val="00633BB9"/>
    <w:rsid w:val="006340A8"/>
    <w:rsid w:val="006344F7"/>
    <w:rsid w:val="00634F31"/>
    <w:rsid w:val="00635187"/>
    <w:rsid w:val="00635630"/>
    <w:rsid w:val="0063583B"/>
    <w:rsid w:val="0063586D"/>
    <w:rsid w:val="006362FC"/>
    <w:rsid w:val="0063630F"/>
    <w:rsid w:val="0063655B"/>
    <w:rsid w:val="00636713"/>
    <w:rsid w:val="00636A0E"/>
    <w:rsid w:val="00636C1A"/>
    <w:rsid w:val="00637712"/>
    <w:rsid w:val="006377A6"/>
    <w:rsid w:val="00637890"/>
    <w:rsid w:val="00637A3D"/>
    <w:rsid w:val="00637A3E"/>
    <w:rsid w:val="00637C1C"/>
    <w:rsid w:val="00637DB2"/>
    <w:rsid w:val="00640947"/>
    <w:rsid w:val="00640958"/>
    <w:rsid w:val="00640BB5"/>
    <w:rsid w:val="00640BCF"/>
    <w:rsid w:val="00640DB6"/>
    <w:rsid w:val="00640E04"/>
    <w:rsid w:val="006411EF"/>
    <w:rsid w:val="00641560"/>
    <w:rsid w:val="00641E9B"/>
    <w:rsid w:val="00642281"/>
    <w:rsid w:val="006422BC"/>
    <w:rsid w:val="00642690"/>
    <w:rsid w:val="0064271A"/>
    <w:rsid w:val="006428AD"/>
    <w:rsid w:val="006429D2"/>
    <w:rsid w:val="00642B3E"/>
    <w:rsid w:val="00642CC0"/>
    <w:rsid w:val="00643429"/>
    <w:rsid w:val="006435AA"/>
    <w:rsid w:val="00643817"/>
    <w:rsid w:val="00643E47"/>
    <w:rsid w:val="006443C6"/>
    <w:rsid w:val="006449E3"/>
    <w:rsid w:val="00644A5F"/>
    <w:rsid w:val="00644A77"/>
    <w:rsid w:val="00644BAA"/>
    <w:rsid w:val="00644C73"/>
    <w:rsid w:val="00644CF0"/>
    <w:rsid w:val="00644E91"/>
    <w:rsid w:val="00644EF2"/>
    <w:rsid w:val="00645243"/>
    <w:rsid w:val="006453EC"/>
    <w:rsid w:val="0064543C"/>
    <w:rsid w:val="006455E7"/>
    <w:rsid w:val="00645780"/>
    <w:rsid w:val="0064583C"/>
    <w:rsid w:val="0064590D"/>
    <w:rsid w:val="00645B32"/>
    <w:rsid w:val="00645E93"/>
    <w:rsid w:val="006468AE"/>
    <w:rsid w:val="006468DA"/>
    <w:rsid w:val="00646D1F"/>
    <w:rsid w:val="0064734E"/>
    <w:rsid w:val="0064740E"/>
    <w:rsid w:val="00647B90"/>
    <w:rsid w:val="0065012C"/>
    <w:rsid w:val="0065023A"/>
    <w:rsid w:val="006502B9"/>
    <w:rsid w:val="00650300"/>
    <w:rsid w:val="006504AF"/>
    <w:rsid w:val="00650536"/>
    <w:rsid w:val="0065078C"/>
    <w:rsid w:val="00650AF2"/>
    <w:rsid w:val="0065101A"/>
    <w:rsid w:val="0065110D"/>
    <w:rsid w:val="00651187"/>
    <w:rsid w:val="0065130F"/>
    <w:rsid w:val="006516C0"/>
    <w:rsid w:val="00651A54"/>
    <w:rsid w:val="00651B16"/>
    <w:rsid w:val="00651DEF"/>
    <w:rsid w:val="00653002"/>
    <w:rsid w:val="00653485"/>
    <w:rsid w:val="0065363D"/>
    <w:rsid w:val="00653915"/>
    <w:rsid w:val="00653A22"/>
    <w:rsid w:val="006542B3"/>
    <w:rsid w:val="00654A5B"/>
    <w:rsid w:val="00654B8F"/>
    <w:rsid w:val="00654CDB"/>
    <w:rsid w:val="00654E90"/>
    <w:rsid w:val="0065524B"/>
    <w:rsid w:val="006552D9"/>
    <w:rsid w:val="00655386"/>
    <w:rsid w:val="00655A86"/>
    <w:rsid w:val="00656128"/>
    <w:rsid w:val="0065614E"/>
    <w:rsid w:val="00656198"/>
    <w:rsid w:val="0065674F"/>
    <w:rsid w:val="00657068"/>
    <w:rsid w:val="00657529"/>
    <w:rsid w:val="006575BE"/>
    <w:rsid w:val="00657682"/>
    <w:rsid w:val="00657CE2"/>
    <w:rsid w:val="00660492"/>
    <w:rsid w:val="00660731"/>
    <w:rsid w:val="00661318"/>
    <w:rsid w:val="006615EF"/>
    <w:rsid w:val="006617C1"/>
    <w:rsid w:val="00661828"/>
    <w:rsid w:val="00661B7B"/>
    <w:rsid w:val="00661B93"/>
    <w:rsid w:val="00661CCB"/>
    <w:rsid w:val="00661D3C"/>
    <w:rsid w:val="006622B9"/>
    <w:rsid w:val="0066280B"/>
    <w:rsid w:val="00662953"/>
    <w:rsid w:val="00662D22"/>
    <w:rsid w:val="00662F84"/>
    <w:rsid w:val="00663BD3"/>
    <w:rsid w:val="00663CAB"/>
    <w:rsid w:val="00663F25"/>
    <w:rsid w:val="0066415F"/>
    <w:rsid w:val="006641AC"/>
    <w:rsid w:val="00664E60"/>
    <w:rsid w:val="00665219"/>
    <w:rsid w:val="00665295"/>
    <w:rsid w:val="006652CA"/>
    <w:rsid w:val="00665873"/>
    <w:rsid w:val="006658E7"/>
    <w:rsid w:val="00665B51"/>
    <w:rsid w:val="0066609A"/>
    <w:rsid w:val="00666265"/>
    <w:rsid w:val="00666475"/>
    <w:rsid w:val="0066683F"/>
    <w:rsid w:val="00666C6C"/>
    <w:rsid w:val="00666DAD"/>
    <w:rsid w:val="00666EF3"/>
    <w:rsid w:val="00667500"/>
    <w:rsid w:val="0066759B"/>
    <w:rsid w:val="00667A00"/>
    <w:rsid w:val="00667A1E"/>
    <w:rsid w:val="006700A4"/>
    <w:rsid w:val="00670366"/>
    <w:rsid w:val="00670512"/>
    <w:rsid w:val="006706E4"/>
    <w:rsid w:val="00670EA3"/>
    <w:rsid w:val="00670F8A"/>
    <w:rsid w:val="006712E8"/>
    <w:rsid w:val="0067158D"/>
    <w:rsid w:val="00671A73"/>
    <w:rsid w:val="00671B07"/>
    <w:rsid w:val="00671D60"/>
    <w:rsid w:val="00672F57"/>
    <w:rsid w:val="0067308D"/>
    <w:rsid w:val="006734AB"/>
    <w:rsid w:val="006736CA"/>
    <w:rsid w:val="00673ED4"/>
    <w:rsid w:val="00674311"/>
    <w:rsid w:val="00674522"/>
    <w:rsid w:val="00674575"/>
    <w:rsid w:val="006748B8"/>
    <w:rsid w:val="00674C04"/>
    <w:rsid w:val="00674D6B"/>
    <w:rsid w:val="00674FA3"/>
    <w:rsid w:val="00674FDE"/>
    <w:rsid w:val="00675290"/>
    <w:rsid w:val="00675553"/>
    <w:rsid w:val="006755F1"/>
    <w:rsid w:val="00675939"/>
    <w:rsid w:val="00675FE2"/>
    <w:rsid w:val="00675FF5"/>
    <w:rsid w:val="00676369"/>
    <w:rsid w:val="006765AE"/>
    <w:rsid w:val="006765D2"/>
    <w:rsid w:val="00676B7A"/>
    <w:rsid w:val="00676C2D"/>
    <w:rsid w:val="006771DB"/>
    <w:rsid w:val="006775C3"/>
    <w:rsid w:val="00677877"/>
    <w:rsid w:val="00677C40"/>
    <w:rsid w:val="00677F6C"/>
    <w:rsid w:val="0068006C"/>
    <w:rsid w:val="006800DC"/>
    <w:rsid w:val="0068043B"/>
    <w:rsid w:val="00680E15"/>
    <w:rsid w:val="00681449"/>
    <w:rsid w:val="00681AAB"/>
    <w:rsid w:val="00682044"/>
    <w:rsid w:val="0068266C"/>
    <w:rsid w:val="006828DA"/>
    <w:rsid w:val="00682A08"/>
    <w:rsid w:val="00682CAF"/>
    <w:rsid w:val="00682E36"/>
    <w:rsid w:val="00682F20"/>
    <w:rsid w:val="00683401"/>
    <w:rsid w:val="0068394C"/>
    <w:rsid w:val="00683B6A"/>
    <w:rsid w:val="00684168"/>
    <w:rsid w:val="006843C7"/>
    <w:rsid w:val="0068446E"/>
    <w:rsid w:val="00684615"/>
    <w:rsid w:val="00684F51"/>
    <w:rsid w:val="00685B29"/>
    <w:rsid w:val="00685D9D"/>
    <w:rsid w:val="006860A9"/>
    <w:rsid w:val="00686219"/>
    <w:rsid w:val="006862A1"/>
    <w:rsid w:val="00686572"/>
    <w:rsid w:val="00686971"/>
    <w:rsid w:val="00686A91"/>
    <w:rsid w:val="00686D9F"/>
    <w:rsid w:val="00686E41"/>
    <w:rsid w:val="00687A54"/>
    <w:rsid w:val="00687D18"/>
    <w:rsid w:val="006900F9"/>
    <w:rsid w:val="0069013E"/>
    <w:rsid w:val="006901A4"/>
    <w:rsid w:val="00690208"/>
    <w:rsid w:val="0069063E"/>
    <w:rsid w:val="00690883"/>
    <w:rsid w:val="00690EB4"/>
    <w:rsid w:val="00691067"/>
    <w:rsid w:val="0069178B"/>
    <w:rsid w:val="0069179A"/>
    <w:rsid w:val="0069197C"/>
    <w:rsid w:val="00692163"/>
    <w:rsid w:val="006922A7"/>
    <w:rsid w:val="006926A7"/>
    <w:rsid w:val="0069276E"/>
    <w:rsid w:val="00692867"/>
    <w:rsid w:val="0069290A"/>
    <w:rsid w:val="00692A16"/>
    <w:rsid w:val="00693900"/>
    <w:rsid w:val="00693F3B"/>
    <w:rsid w:val="00694240"/>
    <w:rsid w:val="006942B1"/>
    <w:rsid w:val="0069440A"/>
    <w:rsid w:val="00694777"/>
    <w:rsid w:val="006948B1"/>
    <w:rsid w:val="00694987"/>
    <w:rsid w:val="00694FA8"/>
    <w:rsid w:val="00694FD0"/>
    <w:rsid w:val="00696A69"/>
    <w:rsid w:val="00696C7B"/>
    <w:rsid w:val="00696CC7"/>
    <w:rsid w:val="00696FD4"/>
    <w:rsid w:val="00697366"/>
    <w:rsid w:val="0069775A"/>
    <w:rsid w:val="00697813"/>
    <w:rsid w:val="006A0286"/>
    <w:rsid w:val="006A0B7E"/>
    <w:rsid w:val="006A0E13"/>
    <w:rsid w:val="006A10C7"/>
    <w:rsid w:val="006A11BE"/>
    <w:rsid w:val="006A129E"/>
    <w:rsid w:val="006A14B8"/>
    <w:rsid w:val="006A1549"/>
    <w:rsid w:val="006A1C28"/>
    <w:rsid w:val="006A1D6A"/>
    <w:rsid w:val="006A2283"/>
    <w:rsid w:val="006A2BE5"/>
    <w:rsid w:val="006A2F1E"/>
    <w:rsid w:val="006A3174"/>
    <w:rsid w:val="006A32F4"/>
    <w:rsid w:val="006A3341"/>
    <w:rsid w:val="006A3577"/>
    <w:rsid w:val="006A3C80"/>
    <w:rsid w:val="006A3DAD"/>
    <w:rsid w:val="006A3EE8"/>
    <w:rsid w:val="006A3F3F"/>
    <w:rsid w:val="006A43BA"/>
    <w:rsid w:val="006A44DB"/>
    <w:rsid w:val="006A45AA"/>
    <w:rsid w:val="006A467A"/>
    <w:rsid w:val="006A48BE"/>
    <w:rsid w:val="006A4A4A"/>
    <w:rsid w:val="006A4A8A"/>
    <w:rsid w:val="006A4E14"/>
    <w:rsid w:val="006A521B"/>
    <w:rsid w:val="006A55EE"/>
    <w:rsid w:val="006A56D4"/>
    <w:rsid w:val="006A5748"/>
    <w:rsid w:val="006A5817"/>
    <w:rsid w:val="006A5D41"/>
    <w:rsid w:val="006A611F"/>
    <w:rsid w:val="006A64B5"/>
    <w:rsid w:val="006A6687"/>
    <w:rsid w:val="006A6724"/>
    <w:rsid w:val="006A6B4B"/>
    <w:rsid w:val="006A6E2B"/>
    <w:rsid w:val="006A72BF"/>
    <w:rsid w:val="006A74CC"/>
    <w:rsid w:val="006A760D"/>
    <w:rsid w:val="006A777A"/>
    <w:rsid w:val="006A7B0A"/>
    <w:rsid w:val="006B03F2"/>
    <w:rsid w:val="006B0B81"/>
    <w:rsid w:val="006B0D26"/>
    <w:rsid w:val="006B0E80"/>
    <w:rsid w:val="006B102F"/>
    <w:rsid w:val="006B12E5"/>
    <w:rsid w:val="006B1649"/>
    <w:rsid w:val="006B1A8E"/>
    <w:rsid w:val="006B1FAB"/>
    <w:rsid w:val="006B1FB7"/>
    <w:rsid w:val="006B2112"/>
    <w:rsid w:val="006B258E"/>
    <w:rsid w:val="006B25BB"/>
    <w:rsid w:val="006B295F"/>
    <w:rsid w:val="006B3013"/>
    <w:rsid w:val="006B31D7"/>
    <w:rsid w:val="006B36E4"/>
    <w:rsid w:val="006B3796"/>
    <w:rsid w:val="006B37CB"/>
    <w:rsid w:val="006B37DC"/>
    <w:rsid w:val="006B38F7"/>
    <w:rsid w:val="006B3C60"/>
    <w:rsid w:val="006B3E0A"/>
    <w:rsid w:val="006B43F9"/>
    <w:rsid w:val="006B4EF5"/>
    <w:rsid w:val="006B4F5C"/>
    <w:rsid w:val="006B4F68"/>
    <w:rsid w:val="006B52C4"/>
    <w:rsid w:val="006B536E"/>
    <w:rsid w:val="006B5560"/>
    <w:rsid w:val="006B6570"/>
    <w:rsid w:val="006B662F"/>
    <w:rsid w:val="006B6657"/>
    <w:rsid w:val="006B6768"/>
    <w:rsid w:val="006B7310"/>
    <w:rsid w:val="006B76F5"/>
    <w:rsid w:val="006B775B"/>
    <w:rsid w:val="006B79C7"/>
    <w:rsid w:val="006B7AE6"/>
    <w:rsid w:val="006B7F5E"/>
    <w:rsid w:val="006C002F"/>
    <w:rsid w:val="006C0592"/>
    <w:rsid w:val="006C0682"/>
    <w:rsid w:val="006C0AD0"/>
    <w:rsid w:val="006C0BC3"/>
    <w:rsid w:val="006C0BE7"/>
    <w:rsid w:val="006C1372"/>
    <w:rsid w:val="006C1708"/>
    <w:rsid w:val="006C1ABF"/>
    <w:rsid w:val="006C1C29"/>
    <w:rsid w:val="006C1CEC"/>
    <w:rsid w:val="006C1E0A"/>
    <w:rsid w:val="006C1E4C"/>
    <w:rsid w:val="006C1E55"/>
    <w:rsid w:val="006C220B"/>
    <w:rsid w:val="006C2359"/>
    <w:rsid w:val="006C267E"/>
    <w:rsid w:val="006C272E"/>
    <w:rsid w:val="006C2AD3"/>
    <w:rsid w:val="006C2BBB"/>
    <w:rsid w:val="006C2BF5"/>
    <w:rsid w:val="006C2D6C"/>
    <w:rsid w:val="006C2E3F"/>
    <w:rsid w:val="006C2E7D"/>
    <w:rsid w:val="006C3318"/>
    <w:rsid w:val="006C33A2"/>
    <w:rsid w:val="006C3605"/>
    <w:rsid w:val="006C365B"/>
    <w:rsid w:val="006C3B20"/>
    <w:rsid w:val="006C4979"/>
    <w:rsid w:val="006C49A2"/>
    <w:rsid w:val="006C4E2F"/>
    <w:rsid w:val="006C4E6B"/>
    <w:rsid w:val="006C4F97"/>
    <w:rsid w:val="006C51AE"/>
    <w:rsid w:val="006C524F"/>
    <w:rsid w:val="006C52CD"/>
    <w:rsid w:val="006C534E"/>
    <w:rsid w:val="006C5479"/>
    <w:rsid w:val="006C5600"/>
    <w:rsid w:val="006C59F3"/>
    <w:rsid w:val="006C5ABE"/>
    <w:rsid w:val="006C5AE9"/>
    <w:rsid w:val="006C5C98"/>
    <w:rsid w:val="006C61F9"/>
    <w:rsid w:val="006C6641"/>
    <w:rsid w:val="006C67F5"/>
    <w:rsid w:val="006C6D4A"/>
    <w:rsid w:val="006C6D95"/>
    <w:rsid w:val="006C6FDA"/>
    <w:rsid w:val="006C74E6"/>
    <w:rsid w:val="006C773E"/>
    <w:rsid w:val="006C7B1A"/>
    <w:rsid w:val="006C7DCB"/>
    <w:rsid w:val="006D011C"/>
    <w:rsid w:val="006D0340"/>
    <w:rsid w:val="006D06D9"/>
    <w:rsid w:val="006D0979"/>
    <w:rsid w:val="006D0A9A"/>
    <w:rsid w:val="006D0E65"/>
    <w:rsid w:val="006D0EF3"/>
    <w:rsid w:val="006D0FBB"/>
    <w:rsid w:val="006D13B5"/>
    <w:rsid w:val="006D1518"/>
    <w:rsid w:val="006D1737"/>
    <w:rsid w:val="006D1A85"/>
    <w:rsid w:val="006D1E19"/>
    <w:rsid w:val="006D2C03"/>
    <w:rsid w:val="006D374A"/>
    <w:rsid w:val="006D3AF6"/>
    <w:rsid w:val="006D3CA0"/>
    <w:rsid w:val="006D3F4A"/>
    <w:rsid w:val="006D40DA"/>
    <w:rsid w:val="006D41C3"/>
    <w:rsid w:val="006D4C2A"/>
    <w:rsid w:val="006D4EF6"/>
    <w:rsid w:val="006D4FB2"/>
    <w:rsid w:val="006D50F9"/>
    <w:rsid w:val="006D58DA"/>
    <w:rsid w:val="006D5948"/>
    <w:rsid w:val="006D5A81"/>
    <w:rsid w:val="006D5DFB"/>
    <w:rsid w:val="006D5E75"/>
    <w:rsid w:val="006D678F"/>
    <w:rsid w:val="006D6A34"/>
    <w:rsid w:val="006D6D63"/>
    <w:rsid w:val="006D7139"/>
    <w:rsid w:val="006D746F"/>
    <w:rsid w:val="006D75D9"/>
    <w:rsid w:val="006D7ABE"/>
    <w:rsid w:val="006D7BAA"/>
    <w:rsid w:val="006D7FDE"/>
    <w:rsid w:val="006E00A1"/>
    <w:rsid w:val="006E0318"/>
    <w:rsid w:val="006E044A"/>
    <w:rsid w:val="006E07CF"/>
    <w:rsid w:val="006E097F"/>
    <w:rsid w:val="006E0D9E"/>
    <w:rsid w:val="006E0E5A"/>
    <w:rsid w:val="006E0F2D"/>
    <w:rsid w:val="006E1078"/>
    <w:rsid w:val="006E10F4"/>
    <w:rsid w:val="006E11F0"/>
    <w:rsid w:val="006E12FF"/>
    <w:rsid w:val="006E1428"/>
    <w:rsid w:val="006E1550"/>
    <w:rsid w:val="006E161B"/>
    <w:rsid w:val="006E19BD"/>
    <w:rsid w:val="006E1E67"/>
    <w:rsid w:val="006E22F5"/>
    <w:rsid w:val="006E281C"/>
    <w:rsid w:val="006E35C8"/>
    <w:rsid w:val="006E38A6"/>
    <w:rsid w:val="006E3A8E"/>
    <w:rsid w:val="006E3AA4"/>
    <w:rsid w:val="006E3ADB"/>
    <w:rsid w:val="006E3B75"/>
    <w:rsid w:val="006E3D31"/>
    <w:rsid w:val="006E3F8A"/>
    <w:rsid w:val="006E42BB"/>
    <w:rsid w:val="006E4820"/>
    <w:rsid w:val="006E4ABE"/>
    <w:rsid w:val="006E4D4D"/>
    <w:rsid w:val="006E4FDE"/>
    <w:rsid w:val="006E50F4"/>
    <w:rsid w:val="006E5626"/>
    <w:rsid w:val="006E57B0"/>
    <w:rsid w:val="006E59C1"/>
    <w:rsid w:val="006E5A5E"/>
    <w:rsid w:val="006E5EC9"/>
    <w:rsid w:val="006E607E"/>
    <w:rsid w:val="006E62C1"/>
    <w:rsid w:val="006E65D7"/>
    <w:rsid w:val="006E6FA9"/>
    <w:rsid w:val="006E7634"/>
    <w:rsid w:val="006E7C1C"/>
    <w:rsid w:val="006F02A8"/>
    <w:rsid w:val="006F04B6"/>
    <w:rsid w:val="006F06C5"/>
    <w:rsid w:val="006F06C9"/>
    <w:rsid w:val="006F0B54"/>
    <w:rsid w:val="006F0E2C"/>
    <w:rsid w:val="006F0E54"/>
    <w:rsid w:val="006F10EA"/>
    <w:rsid w:val="006F1667"/>
    <w:rsid w:val="006F199E"/>
    <w:rsid w:val="006F226C"/>
    <w:rsid w:val="006F2347"/>
    <w:rsid w:val="006F25A4"/>
    <w:rsid w:val="006F28FB"/>
    <w:rsid w:val="006F29FA"/>
    <w:rsid w:val="006F2A90"/>
    <w:rsid w:val="006F2CD9"/>
    <w:rsid w:val="006F2D7E"/>
    <w:rsid w:val="006F2E06"/>
    <w:rsid w:val="006F34AA"/>
    <w:rsid w:val="006F407A"/>
    <w:rsid w:val="006F40A8"/>
    <w:rsid w:val="006F4815"/>
    <w:rsid w:val="006F485A"/>
    <w:rsid w:val="006F4DA6"/>
    <w:rsid w:val="006F50D8"/>
    <w:rsid w:val="006F51F1"/>
    <w:rsid w:val="006F5C55"/>
    <w:rsid w:val="006F5CB7"/>
    <w:rsid w:val="006F6093"/>
    <w:rsid w:val="006F63E8"/>
    <w:rsid w:val="006F6849"/>
    <w:rsid w:val="006F6931"/>
    <w:rsid w:val="006F69E9"/>
    <w:rsid w:val="006F6A20"/>
    <w:rsid w:val="006F6E28"/>
    <w:rsid w:val="006F7372"/>
    <w:rsid w:val="006F74DB"/>
    <w:rsid w:val="006F76EE"/>
    <w:rsid w:val="006F77AD"/>
    <w:rsid w:val="006F78B7"/>
    <w:rsid w:val="006F79D0"/>
    <w:rsid w:val="00700065"/>
    <w:rsid w:val="00700BFF"/>
    <w:rsid w:val="007012A5"/>
    <w:rsid w:val="007016F3"/>
    <w:rsid w:val="00701CAC"/>
    <w:rsid w:val="00701D70"/>
    <w:rsid w:val="00701D94"/>
    <w:rsid w:val="00701FD9"/>
    <w:rsid w:val="007022FB"/>
    <w:rsid w:val="00702699"/>
    <w:rsid w:val="00702AAA"/>
    <w:rsid w:val="0070303C"/>
    <w:rsid w:val="00703510"/>
    <w:rsid w:val="0070363B"/>
    <w:rsid w:val="00703982"/>
    <w:rsid w:val="00703DB3"/>
    <w:rsid w:val="0070476E"/>
    <w:rsid w:val="00704E54"/>
    <w:rsid w:val="00704EAC"/>
    <w:rsid w:val="007050DD"/>
    <w:rsid w:val="00705161"/>
    <w:rsid w:val="0070527B"/>
    <w:rsid w:val="007054A6"/>
    <w:rsid w:val="00705510"/>
    <w:rsid w:val="00705B6D"/>
    <w:rsid w:val="00706003"/>
    <w:rsid w:val="007061CA"/>
    <w:rsid w:val="00706433"/>
    <w:rsid w:val="0070648D"/>
    <w:rsid w:val="007066AC"/>
    <w:rsid w:val="00706C5D"/>
    <w:rsid w:val="00706E81"/>
    <w:rsid w:val="007070D8"/>
    <w:rsid w:val="00707249"/>
    <w:rsid w:val="007072CD"/>
    <w:rsid w:val="00707357"/>
    <w:rsid w:val="0070773E"/>
    <w:rsid w:val="00707817"/>
    <w:rsid w:val="00707E80"/>
    <w:rsid w:val="0071038E"/>
    <w:rsid w:val="0071047D"/>
    <w:rsid w:val="0071087D"/>
    <w:rsid w:val="0071093F"/>
    <w:rsid w:val="00710C8F"/>
    <w:rsid w:val="00710CC1"/>
    <w:rsid w:val="0071106B"/>
    <w:rsid w:val="007111E7"/>
    <w:rsid w:val="007112F9"/>
    <w:rsid w:val="007115E0"/>
    <w:rsid w:val="0071174E"/>
    <w:rsid w:val="007119D3"/>
    <w:rsid w:val="007119D5"/>
    <w:rsid w:val="00711E8B"/>
    <w:rsid w:val="00711FC2"/>
    <w:rsid w:val="007122EA"/>
    <w:rsid w:val="00712486"/>
    <w:rsid w:val="007124C4"/>
    <w:rsid w:val="0071261F"/>
    <w:rsid w:val="0071296B"/>
    <w:rsid w:val="00712AFB"/>
    <w:rsid w:val="00712FD9"/>
    <w:rsid w:val="00713412"/>
    <w:rsid w:val="00713D7B"/>
    <w:rsid w:val="00714618"/>
    <w:rsid w:val="00714876"/>
    <w:rsid w:val="00714B7C"/>
    <w:rsid w:val="007155AA"/>
    <w:rsid w:val="00715841"/>
    <w:rsid w:val="00715952"/>
    <w:rsid w:val="00715AA1"/>
    <w:rsid w:val="00715BA7"/>
    <w:rsid w:val="00715F17"/>
    <w:rsid w:val="007162B1"/>
    <w:rsid w:val="00716A8D"/>
    <w:rsid w:val="00716D71"/>
    <w:rsid w:val="00716D7F"/>
    <w:rsid w:val="00717301"/>
    <w:rsid w:val="0072089A"/>
    <w:rsid w:val="0072099A"/>
    <w:rsid w:val="007209B5"/>
    <w:rsid w:val="00721245"/>
    <w:rsid w:val="007214C9"/>
    <w:rsid w:val="00721558"/>
    <w:rsid w:val="0072166B"/>
    <w:rsid w:val="00721855"/>
    <w:rsid w:val="00721B90"/>
    <w:rsid w:val="00721D04"/>
    <w:rsid w:val="00721F41"/>
    <w:rsid w:val="00722039"/>
    <w:rsid w:val="00722180"/>
    <w:rsid w:val="007225EF"/>
    <w:rsid w:val="007234C8"/>
    <w:rsid w:val="007237E1"/>
    <w:rsid w:val="007238AA"/>
    <w:rsid w:val="00723A5E"/>
    <w:rsid w:val="00723EFD"/>
    <w:rsid w:val="00724201"/>
    <w:rsid w:val="007245AA"/>
    <w:rsid w:val="0072496A"/>
    <w:rsid w:val="00724C06"/>
    <w:rsid w:val="00724D41"/>
    <w:rsid w:val="007251BA"/>
    <w:rsid w:val="00725494"/>
    <w:rsid w:val="007258B2"/>
    <w:rsid w:val="007261FE"/>
    <w:rsid w:val="007262C6"/>
    <w:rsid w:val="007265AD"/>
    <w:rsid w:val="00726643"/>
    <w:rsid w:val="007267A1"/>
    <w:rsid w:val="00726A8D"/>
    <w:rsid w:val="00727356"/>
    <w:rsid w:val="00727361"/>
    <w:rsid w:val="00727D68"/>
    <w:rsid w:val="00727F22"/>
    <w:rsid w:val="007302CF"/>
    <w:rsid w:val="007305E4"/>
    <w:rsid w:val="00730716"/>
    <w:rsid w:val="00730843"/>
    <w:rsid w:val="00730C0B"/>
    <w:rsid w:val="00730D5D"/>
    <w:rsid w:val="00731462"/>
    <w:rsid w:val="00731676"/>
    <w:rsid w:val="007319E4"/>
    <w:rsid w:val="007321F3"/>
    <w:rsid w:val="0073227E"/>
    <w:rsid w:val="00732922"/>
    <w:rsid w:val="00732C8B"/>
    <w:rsid w:val="00732CE3"/>
    <w:rsid w:val="00732DCB"/>
    <w:rsid w:val="00732E43"/>
    <w:rsid w:val="007331A1"/>
    <w:rsid w:val="00733502"/>
    <w:rsid w:val="00733B84"/>
    <w:rsid w:val="00733C24"/>
    <w:rsid w:val="00733D52"/>
    <w:rsid w:val="007341FB"/>
    <w:rsid w:val="0073479C"/>
    <w:rsid w:val="00734966"/>
    <w:rsid w:val="00735039"/>
    <w:rsid w:val="00735189"/>
    <w:rsid w:val="007355AE"/>
    <w:rsid w:val="00735736"/>
    <w:rsid w:val="00735A3E"/>
    <w:rsid w:val="00735D2B"/>
    <w:rsid w:val="0073605E"/>
    <w:rsid w:val="007361F4"/>
    <w:rsid w:val="0073622D"/>
    <w:rsid w:val="00736381"/>
    <w:rsid w:val="00736691"/>
    <w:rsid w:val="00736767"/>
    <w:rsid w:val="00736779"/>
    <w:rsid w:val="007372FD"/>
    <w:rsid w:val="00737503"/>
    <w:rsid w:val="007376C1"/>
    <w:rsid w:val="007376E5"/>
    <w:rsid w:val="00740BD3"/>
    <w:rsid w:val="00740D76"/>
    <w:rsid w:val="00740ED4"/>
    <w:rsid w:val="00740FBA"/>
    <w:rsid w:val="00741D86"/>
    <w:rsid w:val="007424BA"/>
    <w:rsid w:val="00742546"/>
    <w:rsid w:val="007427AA"/>
    <w:rsid w:val="00742DDB"/>
    <w:rsid w:val="00742F6A"/>
    <w:rsid w:val="0074307A"/>
    <w:rsid w:val="00743539"/>
    <w:rsid w:val="00743BFF"/>
    <w:rsid w:val="00743F72"/>
    <w:rsid w:val="007441AC"/>
    <w:rsid w:val="0074431C"/>
    <w:rsid w:val="007444B4"/>
    <w:rsid w:val="00744667"/>
    <w:rsid w:val="00744670"/>
    <w:rsid w:val="00744B06"/>
    <w:rsid w:val="0074500D"/>
    <w:rsid w:val="00745A37"/>
    <w:rsid w:val="00745C14"/>
    <w:rsid w:val="00745DFE"/>
    <w:rsid w:val="00746B5B"/>
    <w:rsid w:val="00746D2A"/>
    <w:rsid w:val="00746D58"/>
    <w:rsid w:val="00746EFA"/>
    <w:rsid w:val="0074724C"/>
    <w:rsid w:val="00747739"/>
    <w:rsid w:val="00747783"/>
    <w:rsid w:val="0075000F"/>
    <w:rsid w:val="007504AF"/>
    <w:rsid w:val="00750635"/>
    <w:rsid w:val="00750F29"/>
    <w:rsid w:val="00751013"/>
    <w:rsid w:val="00751435"/>
    <w:rsid w:val="007514F6"/>
    <w:rsid w:val="0075162E"/>
    <w:rsid w:val="007519F4"/>
    <w:rsid w:val="00751FA3"/>
    <w:rsid w:val="0075260D"/>
    <w:rsid w:val="00752645"/>
    <w:rsid w:val="00752724"/>
    <w:rsid w:val="00752B70"/>
    <w:rsid w:val="00752BC3"/>
    <w:rsid w:val="00752C53"/>
    <w:rsid w:val="007531DD"/>
    <w:rsid w:val="00753262"/>
    <w:rsid w:val="0075355E"/>
    <w:rsid w:val="00753769"/>
    <w:rsid w:val="007537AA"/>
    <w:rsid w:val="007538FE"/>
    <w:rsid w:val="00753BB6"/>
    <w:rsid w:val="00754034"/>
    <w:rsid w:val="00754173"/>
    <w:rsid w:val="00754DE1"/>
    <w:rsid w:val="007551D0"/>
    <w:rsid w:val="00755493"/>
    <w:rsid w:val="00755602"/>
    <w:rsid w:val="0075569E"/>
    <w:rsid w:val="007558A0"/>
    <w:rsid w:val="00755BC7"/>
    <w:rsid w:val="00756297"/>
    <w:rsid w:val="00756556"/>
    <w:rsid w:val="007577C3"/>
    <w:rsid w:val="00757DCA"/>
    <w:rsid w:val="00757E9C"/>
    <w:rsid w:val="00757F46"/>
    <w:rsid w:val="007602B1"/>
    <w:rsid w:val="00760625"/>
    <w:rsid w:val="00760C8D"/>
    <w:rsid w:val="007610E6"/>
    <w:rsid w:val="00761298"/>
    <w:rsid w:val="007618C4"/>
    <w:rsid w:val="007619CB"/>
    <w:rsid w:val="00761A9F"/>
    <w:rsid w:val="00761BA3"/>
    <w:rsid w:val="00761D76"/>
    <w:rsid w:val="00761E81"/>
    <w:rsid w:val="00761EBF"/>
    <w:rsid w:val="0076240F"/>
    <w:rsid w:val="00762432"/>
    <w:rsid w:val="00762520"/>
    <w:rsid w:val="007625EE"/>
    <w:rsid w:val="007629E7"/>
    <w:rsid w:val="00762B4E"/>
    <w:rsid w:val="00762BD3"/>
    <w:rsid w:val="00762C45"/>
    <w:rsid w:val="00762F66"/>
    <w:rsid w:val="007630E0"/>
    <w:rsid w:val="007644F3"/>
    <w:rsid w:val="00764992"/>
    <w:rsid w:val="00764A60"/>
    <w:rsid w:val="00764BBB"/>
    <w:rsid w:val="00764C78"/>
    <w:rsid w:val="00764F54"/>
    <w:rsid w:val="007665AE"/>
    <w:rsid w:val="00766B23"/>
    <w:rsid w:val="00767980"/>
    <w:rsid w:val="00767FDF"/>
    <w:rsid w:val="007706AF"/>
    <w:rsid w:val="00770915"/>
    <w:rsid w:val="00770B19"/>
    <w:rsid w:val="00770D56"/>
    <w:rsid w:val="00771BB2"/>
    <w:rsid w:val="00772531"/>
    <w:rsid w:val="00772596"/>
    <w:rsid w:val="00772612"/>
    <w:rsid w:val="00772A15"/>
    <w:rsid w:val="00772BD9"/>
    <w:rsid w:val="00772F09"/>
    <w:rsid w:val="00773D9B"/>
    <w:rsid w:val="007743EB"/>
    <w:rsid w:val="0077463F"/>
    <w:rsid w:val="00774A0E"/>
    <w:rsid w:val="00774AED"/>
    <w:rsid w:val="00774BD5"/>
    <w:rsid w:val="007750D0"/>
    <w:rsid w:val="0077516A"/>
    <w:rsid w:val="00775185"/>
    <w:rsid w:val="007759F4"/>
    <w:rsid w:val="00775A4D"/>
    <w:rsid w:val="00776425"/>
    <w:rsid w:val="0077666B"/>
    <w:rsid w:val="00776B28"/>
    <w:rsid w:val="00776BD1"/>
    <w:rsid w:val="00776EDC"/>
    <w:rsid w:val="00776F05"/>
    <w:rsid w:val="007773DF"/>
    <w:rsid w:val="007779DB"/>
    <w:rsid w:val="00777D6B"/>
    <w:rsid w:val="00777E69"/>
    <w:rsid w:val="00780351"/>
    <w:rsid w:val="0078065D"/>
    <w:rsid w:val="00780E29"/>
    <w:rsid w:val="00780ECF"/>
    <w:rsid w:val="00780F09"/>
    <w:rsid w:val="00781000"/>
    <w:rsid w:val="00781276"/>
    <w:rsid w:val="00781462"/>
    <w:rsid w:val="00781668"/>
    <w:rsid w:val="0078170A"/>
    <w:rsid w:val="007817FE"/>
    <w:rsid w:val="00781D32"/>
    <w:rsid w:val="007820F4"/>
    <w:rsid w:val="00782495"/>
    <w:rsid w:val="007827D6"/>
    <w:rsid w:val="00782C26"/>
    <w:rsid w:val="00782F32"/>
    <w:rsid w:val="007830C2"/>
    <w:rsid w:val="00783123"/>
    <w:rsid w:val="0078346F"/>
    <w:rsid w:val="00783591"/>
    <w:rsid w:val="007836EA"/>
    <w:rsid w:val="00783B56"/>
    <w:rsid w:val="007843D2"/>
    <w:rsid w:val="0078454B"/>
    <w:rsid w:val="00784754"/>
    <w:rsid w:val="00784A3A"/>
    <w:rsid w:val="00784B50"/>
    <w:rsid w:val="00784C61"/>
    <w:rsid w:val="00784CDA"/>
    <w:rsid w:val="00785298"/>
    <w:rsid w:val="00785606"/>
    <w:rsid w:val="007858CF"/>
    <w:rsid w:val="007859DB"/>
    <w:rsid w:val="007865E9"/>
    <w:rsid w:val="0078675E"/>
    <w:rsid w:val="00787199"/>
    <w:rsid w:val="007871DA"/>
    <w:rsid w:val="00787207"/>
    <w:rsid w:val="00787461"/>
    <w:rsid w:val="0078776F"/>
    <w:rsid w:val="00787863"/>
    <w:rsid w:val="007879BB"/>
    <w:rsid w:val="00787CCA"/>
    <w:rsid w:val="00787DFC"/>
    <w:rsid w:val="00790164"/>
    <w:rsid w:val="00790259"/>
    <w:rsid w:val="007906C4"/>
    <w:rsid w:val="007906DA"/>
    <w:rsid w:val="00790BD1"/>
    <w:rsid w:val="00791286"/>
    <w:rsid w:val="00791334"/>
    <w:rsid w:val="007913E3"/>
    <w:rsid w:val="00791A8D"/>
    <w:rsid w:val="00791F64"/>
    <w:rsid w:val="00792063"/>
    <w:rsid w:val="00792197"/>
    <w:rsid w:val="00792550"/>
    <w:rsid w:val="00792555"/>
    <w:rsid w:val="0079255F"/>
    <w:rsid w:val="007926FD"/>
    <w:rsid w:val="007928C8"/>
    <w:rsid w:val="00792AFF"/>
    <w:rsid w:val="00792BB3"/>
    <w:rsid w:val="00793081"/>
    <w:rsid w:val="0079316E"/>
    <w:rsid w:val="00793C0F"/>
    <w:rsid w:val="00793E2A"/>
    <w:rsid w:val="00793F3F"/>
    <w:rsid w:val="007940EA"/>
    <w:rsid w:val="007946EE"/>
    <w:rsid w:val="00794DA9"/>
    <w:rsid w:val="007951A5"/>
    <w:rsid w:val="0079530C"/>
    <w:rsid w:val="00795457"/>
    <w:rsid w:val="007954E2"/>
    <w:rsid w:val="00795558"/>
    <w:rsid w:val="0079558A"/>
    <w:rsid w:val="00795925"/>
    <w:rsid w:val="00795D34"/>
    <w:rsid w:val="00795D6D"/>
    <w:rsid w:val="00795EEB"/>
    <w:rsid w:val="007960BD"/>
    <w:rsid w:val="00796652"/>
    <w:rsid w:val="00796661"/>
    <w:rsid w:val="007967E8"/>
    <w:rsid w:val="007968FC"/>
    <w:rsid w:val="00797498"/>
    <w:rsid w:val="00797B6B"/>
    <w:rsid w:val="00797DE8"/>
    <w:rsid w:val="00797E2A"/>
    <w:rsid w:val="007A0238"/>
    <w:rsid w:val="007A029F"/>
    <w:rsid w:val="007A0354"/>
    <w:rsid w:val="007A0E96"/>
    <w:rsid w:val="007A0EC7"/>
    <w:rsid w:val="007A1105"/>
    <w:rsid w:val="007A1995"/>
    <w:rsid w:val="007A1C16"/>
    <w:rsid w:val="007A2170"/>
    <w:rsid w:val="007A22BF"/>
    <w:rsid w:val="007A2456"/>
    <w:rsid w:val="007A261E"/>
    <w:rsid w:val="007A2DD9"/>
    <w:rsid w:val="007A3097"/>
    <w:rsid w:val="007A30E7"/>
    <w:rsid w:val="007A30F6"/>
    <w:rsid w:val="007A31CD"/>
    <w:rsid w:val="007A32A1"/>
    <w:rsid w:val="007A3323"/>
    <w:rsid w:val="007A34E6"/>
    <w:rsid w:val="007A3CCE"/>
    <w:rsid w:val="007A401C"/>
    <w:rsid w:val="007A401F"/>
    <w:rsid w:val="007A403B"/>
    <w:rsid w:val="007A4041"/>
    <w:rsid w:val="007A46ED"/>
    <w:rsid w:val="007A49C8"/>
    <w:rsid w:val="007A4E4B"/>
    <w:rsid w:val="007A5094"/>
    <w:rsid w:val="007A50EB"/>
    <w:rsid w:val="007A5617"/>
    <w:rsid w:val="007A5853"/>
    <w:rsid w:val="007A5882"/>
    <w:rsid w:val="007A5DFC"/>
    <w:rsid w:val="007A627E"/>
    <w:rsid w:val="007A68CD"/>
    <w:rsid w:val="007A69AC"/>
    <w:rsid w:val="007A6C9C"/>
    <w:rsid w:val="007A7873"/>
    <w:rsid w:val="007A7C8D"/>
    <w:rsid w:val="007A7E93"/>
    <w:rsid w:val="007B0036"/>
    <w:rsid w:val="007B0052"/>
    <w:rsid w:val="007B04D1"/>
    <w:rsid w:val="007B08A6"/>
    <w:rsid w:val="007B0AEB"/>
    <w:rsid w:val="007B0C02"/>
    <w:rsid w:val="007B0EC5"/>
    <w:rsid w:val="007B1144"/>
    <w:rsid w:val="007B1C2E"/>
    <w:rsid w:val="007B2116"/>
    <w:rsid w:val="007B21E9"/>
    <w:rsid w:val="007B25B0"/>
    <w:rsid w:val="007B2B13"/>
    <w:rsid w:val="007B3193"/>
    <w:rsid w:val="007B352E"/>
    <w:rsid w:val="007B35D1"/>
    <w:rsid w:val="007B4061"/>
    <w:rsid w:val="007B47CE"/>
    <w:rsid w:val="007B4987"/>
    <w:rsid w:val="007B4F82"/>
    <w:rsid w:val="007B5269"/>
    <w:rsid w:val="007B5AAF"/>
    <w:rsid w:val="007B62E6"/>
    <w:rsid w:val="007B660C"/>
    <w:rsid w:val="007B671A"/>
    <w:rsid w:val="007B690C"/>
    <w:rsid w:val="007B6EE8"/>
    <w:rsid w:val="007B72B8"/>
    <w:rsid w:val="007B7506"/>
    <w:rsid w:val="007B7A47"/>
    <w:rsid w:val="007B7A58"/>
    <w:rsid w:val="007C00F5"/>
    <w:rsid w:val="007C0171"/>
    <w:rsid w:val="007C01AC"/>
    <w:rsid w:val="007C0598"/>
    <w:rsid w:val="007C06F3"/>
    <w:rsid w:val="007C074C"/>
    <w:rsid w:val="007C0A0D"/>
    <w:rsid w:val="007C0A15"/>
    <w:rsid w:val="007C0A80"/>
    <w:rsid w:val="007C0BAD"/>
    <w:rsid w:val="007C0C68"/>
    <w:rsid w:val="007C10AB"/>
    <w:rsid w:val="007C1B78"/>
    <w:rsid w:val="007C1C6D"/>
    <w:rsid w:val="007C1E95"/>
    <w:rsid w:val="007C20D9"/>
    <w:rsid w:val="007C2186"/>
    <w:rsid w:val="007C21B5"/>
    <w:rsid w:val="007C2588"/>
    <w:rsid w:val="007C25D5"/>
    <w:rsid w:val="007C2821"/>
    <w:rsid w:val="007C2995"/>
    <w:rsid w:val="007C329E"/>
    <w:rsid w:val="007C3641"/>
    <w:rsid w:val="007C3846"/>
    <w:rsid w:val="007C3904"/>
    <w:rsid w:val="007C3CDD"/>
    <w:rsid w:val="007C3DE1"/>
    <w:rsid w:val="007C3FA5"/>
    <w:rsid w:val="007C40DA"/>
    <w:rsid w:val="007C4647"/>
    <w:rsid w:val="007C5009"/>
    <w:rsid w:val="007C50FD"/>
    <w:rsid w:val="007C5325"/>
    <w:rsid w:val="007C56C4"/>
    <w:rsid w:val="007C57E6"/>
    <w:rsid w:val="007C5B1A"/>
    <w:rsid w:val="007C5E05"/>
    <w:rsid w:val="007C6291"/>
    <w:rsid w:val="007C6384"/>
    <w:rsid w:val="007C67EC"/>
    <w:rsid w:val="007C6D6E"/>
    <w:rsid w:val="007C6F46"/>
    <w:rsid w:val="007C75EB"/>
    <w:rsid w:val="007C76A0"/>
    <w:rsid w:val="007C778A"/>
    <w:rsid w:val="007C7CD6"/>
    <w:rsid w:val="007C7EA3"/>
    <w:rsid w:val="007D0EBA"/>
    <w:rsid w:val="007D0FF5"/>
    <w:rsid w:val="007D1225"/>
    <w:rsid w:val="007D12B6"/>
    <w:rsid w:val="007D137C"/>
    <w:rsid w:val="007D1766"/>
    <w:rsid w:val="007D192C"/>
    <w:rsid w:val="007D1B68"/>
    <w:rsid w:val="007D1D68"/>
    <w:rsid w:val="007D1EDA"/>
    <w:rsid w:val="007D20DD"/>
    <w:rsid w:val="007D222E"/>
    <w:rsid w:val="007D271D"/>
    <w:rsid w:val="007D283C"/>
    <w:rsid w:val="007D2B93"/>
    <w:rsid w:val="007D2BEF"/>
    <w:rsid w:val="007D2EAD"/>
    <w:rsid w:val="007D3531"/>
    <w:rsid w:val="007D361D"/>
    <w:rsid w:val="007D3FFD"/>
    <w:rsid w:val="007D41CF"/>
    <w:rsid w:val="007D434C"/>
    <w:rsid w:val="007D4B0A"/>
    <w:rsid w:val="007D4D7D"/>
    <w:rsid w:val="007D52C4"/>
    <w:rsid w:val="007D560D"/>
    <w:rsid w:val="007D6D58"/>
    <w:rsid w:val="007D6E6A"/>
    <w:rsid w:val="007D7030"/>
    <w:rsid w:val="007D7555"/>
    <w:rsid w:val="007D77B6"/>
    <w:rsid w:val="007E1F23"/>
    <w:rsid w:val="007E1FE4"/>
    <w:rsid w:val="007E21C4"/>
    <w:rsid w:val="007E2709"/>
    <w:rsid w:val="007E330F"/>
    <w:rsid w:val="007E3416"/>
    <w:rsid w:val="007E363C"/>
    <w:rsid w:val="007E39AD"/>
    <w:rsid w:val="007E3EDF"/>
    <w:rsid w:val="007E417B"/>
    <w:rsid w:val="007E4192"/>
    <w:rsid w:val="007E43F6"/>
    <w:rsid w:val="007E45D3"/>
    <w:rsid w:val="007E4618"/>
    <w:rsid w:val="007E4A6D"/>
    <w:rsid w:val="007E4BD2"/>
    <w:rsid w:val="007E4C5F"/>
    <w:rsid w:val="007E4DB9"/>
    <w:rsid w:val="007E5179"/>
    <w:rsid w:val="007E5467"/>
    <w:rsid w:val="007E5BC8"/>
    <w:rsid w:val="007E5CBC"/>
    <w:rsid w:val="007E5FBC"/>
    <w:rsid w:val="007E62C1"/>
    <w:rsid w:val="007E65D1"/>
    <w:rsid w:val="007E686C"/>
    <w:rsid w:val="007E69E8"/>
    <w:rsid w:val="007E7000"/>
    <w:rsid w:val="007E7246"/>
    <w:rsid w:val="007E734D"/>
    <w:rsid w:val="007E75E0"/>
    <w:rsid w:val="007F0472"/>
    <w:rsid w:val="007F0943"/>
    <w:rsid w:val="007F098F"/>
    <w:rsid w:val="007F125C"/>
    <w:rsid w:val="007F1B91"/>
    <w:rsid w:val="007F1F7D"/>
    <w:rsid w:val="007F2020"/>
    <w:rsid w:val="007F2511"/>
    <w:rsid w:val="007F290E"/>
    <w:rsid w:val="007F2B5F"/>
    <w:rsid w:val="007F2C86"/>
    <w:rsid w:val="007F2FD0"/>
    <w:rsid w:val="007F3071"/>
    <w:rsid w:val="007F3564"/>
    <w:rsid w:val="007F3846"/>
    <w:rsid w:val="007F4183"/>
    <w:rsid w:val="007F4277"/>
    <w:rsid w:val="007F4B36"/>
    <w:rsid w:val="007F4DA9"/>
    <w:rsid w:val="007F526D"/>
    <w:rsid w:val="007F53AE"/>
    <w:rsid w:val="007F56C3"/>
    <w:rsid w:val="007F57D9"/>
    <w:rsid w:val="007F5E39"/>
    <w:rsid w:val="007F6218"/>
    <w:rsid w:val="007F6443"/>
    <w:rsid w:val="007F73B5"/>
    <w:rsid w:val="007F7668"/>
    <w:rsid w:val="007F784D"/>
    <w:rsid w:val="007F7904"/>
    <w:rsid w:val="007F7AFE"/>
    <w:rsid w:val="007F7F3B"/>
    <w:rsid w:val="00800126"/>
    <w:rsid w:val="008001FA"/>
    <w:rsid w:val="00800530"/>
    <w:rsid w:val="00800DED"/>
    <w:rsid w:val="00800FA2"/>
    <w:rsid w:val="0080110F"/>
    <w:rsid w:val="00801136"/>
    <w:rsid w:val="00801373"/>
    <w:rsid w:val="00801393"/>
    <w:rsid w:val="00801610"/>
    <w:rsid w:val="00801BB1"/>
    <w:rsid w:val="0080206F"/>
    <w:rsid w:val="008020F1"/>
    <w:rsid w:val="0080215C"/>
    <w:rsid w:val="00802196"/>
    <w:rsid w:val="0080238C"/>
    <w:rsid w:val="008026C6"/>
    <w:rsid w:val="00802E30"/>
    <w:rsid w:val="00802E62"/>
    <w:rsid w:val="00802F88"/>
    <w:rsid w:val="00803320"/>
    <w:rsid w:val="00803610"/>
    <w:rsid w:val="0080387B"/>
    <w:rsid w:val="008038A9"/>
    <w:rsid w:val="00804292"/>
    <w:rsid w:val="008048C8"/>
    <w:rsid w:val="00804C69"/>
    <w:rsid w:val="00804E56"/>
    <w:rsid w:val="00805099"/>
    <w:rsid w:val="008051E8"/>
    <w:rsid w:val="00806FDE"/>
    <w:rsid w:val="00807297"/>
    <w:rsid w:val="008072AA"/>
    <w:rsid w:val="008100FF"/>
    <w:rsid w:val="008101AD"/>
    <w:rsid w:val="00810274"/>
    <w:rsid w:val="008102F1"/>
    <w:rsid w:val="008108BE"/>
    <w:rsid w:val="00810AA6"/>
    <w:rsid w:val="00810F2B"/>
    <w:rsid w:val="0081102F"/>
    <w:rsid w:val="00811464"/>
    <w:rsid w:val="00811A93"/>
    <w:rsid w:val="00811C10"/>
    <w:rsid w:val="00811DF3"/>
    <w:rsid w:val="008121A2"/>
    <w:rsid w:val="0081293E"/>
    <w:rsid w:val="00812D79"/>
    <w:rsid w:val="008130B4"/>
    <w:rsid w:val="008139B0"/>
    <w:rsid w:val="008141C8"/>
    <w:rsid w:val="008143C2"/>
    <w:rsid w:val="00814565"/>
    <w:rsid w:val="00815088"/>
    <w:rsid w:val="00815279"/>
    <w:rsid w:val="00815465"/>
    <w:rsid w:val="008156D1"/>
    <w:rsid w:val="00815BF1"/>
    <w:rsid w:val="00815CF5"/>
    <w:rsid w:val="00815F5A"/>
    <w:rsid w:val="00816373"/>
    <w:rsid w:val="00816416"/>
    <w:rsid w:val="008168D2"/>
    <w:rsid w:val="008169A2"/>
    <w:rsid w:val="00816D00"/>
    <w:rsid w:val="00816E88"/>
    <w:rsid w:val="0081709C"/>
    <w:rsid w:val="008170B5"/>
    <w:rsid w:val="00817549"/>
    <w:rsid w:val="00817E9A"/>
    <w:rsid w:val="00817F11"/>
    <w:rsid w:val="0082040B"/>
    <w:rsid w:val="00820450"/>
    <w:rsid w:val="00820C37"/>
    <w:rsid w:val="00820C97"/>
    <w:rsid w:val="008211BB"/>
    <w:rsid w:val="008219EC"/>
    <w:rsid w:val="00821F63"/>
    <w:rsid w:val="008224B2"/>
    <w:rsid w:val="00822F37"/>
    <w:rsid w:val="00822FE9"/>
    <w:rsid w:val="00823238"/>
    <w:rsid w:val="008235B1"/>
    <w:rsid w:val="00823830"/>
    <w:rsid w:val="00823FBF"/>
    <w:rsid w:val="00823FDD"/>
    <w:rsid w:val="0082428A"/>
    <w:rsid w:val="0082430F"/>
    <w:rsid w:val="008244B1"/>
    <w:rsid w:val="008248D3"/>
    <w:rsid w:val="00824B21"/>
    <w:rsid w:val="008251B5"/>
    <w:rsid w:val="0082539E"/>
    <w:rsid w:val="008254A9"/>
    <w:rsid w:val="008256C1"/>
    <w:rsid w:val="008258F3"/>
    <w:rsid w:val="00825B97"/>
    <w:rsid w:val="00825E6E"/>
    <w:rsid w:val="008263C1"/>
    <w:rsid w:val="00826870"/>
    <w:rsid w:val="00826E03"/>
    <w:rsid w:val="00827268"/>
    <w:rsid w:val="0082745A"/>
    <w:rsid w:val="00827471"/>
    <w:rsid w:val="008275DB"/>
    <w:rsid w:val="00827692"/>
    <w:rsid w:val="008306BD"/>
    <w:rsid w:val="008309C3"/>
    <w:rsid w:val="00830F83"/>
    <w:rsid w:val="00830FFC"/>
    <w:rsid w:val="00831378"/>
    <w:rsid w:val="0083174F"/>
    <w:rsid w:val="00831761"/>
    <w:rsid w:val="00831A80"/>
    <w:rsid w:val="00831CDB"/>
    <w:rsid w:val="00832538"/>
    <w:rsid w:val="00832D7E"/>
    <w:rsid w:val="0083331C"/>
    <w:rsid w:val="00833358"/>
    <w:rsid w:val="008334DB"/>
    <w:rsid w:val="008334E6"/>
    <w:rsid w:val="00833743"/>
    <w:rsid w:val="008338AA"/>
    <w:rsid w:val="00833922"/>
    <w:rsid w:val="00833A62"/>
    <w:rsid w:val="00833DF9"/>
    <w:rsid w:val="00833F89"/>
    <w:rsid w:val="008340A4"/>
    <w:rsid w:val="00834288"/>
    <w:rsid w:val="00834ACC"/>
    <w:rsid w:val="00834DB5"/>
    <w:rsid w:val="0083543E"/>
    <w:rsid w:val="00835647"/>
    <w:rsid w:val="00835AEB"/>
    <w:rsid w:val="00835C49"/>
    <w:rsid w:val="008364B3"/>
    <w:rsid w:val="0083665B"/>
    <w:rsid w:val="00836C63"/>
    <w:rsid w:val="00836DE7"/>
    <w:rsid w:val="00837609"/>
    <w:rsid w:val="00837E47"/>
    <w:rsid w:val="00837FB8"/>
    <w:rsid w:val="008400F6"/>
    <w:rsid w:val="008402EE"/>
    <w:rsid w:val="0084031E"/>
    <w:rsid w:val="00840351"/>
    <w:rsid w:val="00840725"/>
    <w:rsid w:val="00840A57"/>
    <w:rsid w:val="008416D6"/>
    <w:rsid w:val="00841946"/>
    <w:rsid w:val="008422D0"/>
    <w:rsid w:val="00842C3F"/>
    <w:rsid w:val="00842C89"/>
    <w:rsid w:val="00842D9B"/>
    <w:rsid w:val="00843314"/>
    <w:rsid w:val="008434C5"/>
    <w:rsid w:val="0084390D"/>
    <w:rsid w:val="00843990"/>
    <w:rsid w:val="00843C5E"/>
    <w:rsid w:val="00844600"/>
    <w:rsid w:val="00844AAE"/>
    <w:rsid w:val="00844CA2"/>
    <w:rsid w:val="00844F47"/>
    <w:rsid w:val="00844F9F"/>
    <w:rsid w:val="00845810"/>
    <w:rsid w:val="00845E99"/>
    <w:rsid w:val="008462FE"/>
    <w:rsid w:val="0084661E"/>
    <w:rsid w:val="00847022"/>
    <w:rsid w:val="00847552"/>
    <w:rsid w:val="008478DA"/>
    <w:rsid w:val="008478F5"/>
    <w:rsid w:val="00847A35"/>
    <w:rsid w:val="00847CDE"/>
    <w:rsid w:val="00850053"/>
    <w:rsid w:val="0085027B"/>
    <w:rsid w:val="00850472"/>
    <w:rsid w:val="00850745"/>
    <w:rsid w:val="00851228"/>
    <w:rsid w:val="008514C9"/>
    <w:rsid w:val="00851659"/>
    <w:rsid w:val="00851A08"/>
    <w:rsid w:val="00851C7C"/>
    <w:rsid w:val="008526DD"/>
    <w:rsid w:val="0085294F"/>
    <w:rsid w:val="00853196"/>
    <w:rsid w:val="008531E9"/>
    <w:rsid w:val="008537DE"/>
    <w:rsid w:val="00853BC0"/>
    <w:rsid w:val="00853CC2"/>
    <w:rsid w:val="0085410C"/>
    <w:rsid w:val="0085419D"/>
    <w:rsid w:val="008542BE"/>
    <w:rsid w:val="00854968"/>
    <w:rsid w:val="00854F70"/>
    <w:rsid w:val="00855042"/>
    <w:rsid w:val="00855692"/>
    <w:rsid w:val="00855C82"/>
    <w:rsid w:val="008560AB"/>
    <w:rsid w:val="008567BE"/>
    <w:rsid w:val="00856BE9"/>
    <w:rsid w:val="00856D95"/>
    <w:rsid w:val="00857269"/>
    <w:rsid w:val="00857BAC"/>
    <w:rsid w:val="0086007A"/>
    <w:rsid w:val="008603EF"/>
    <w:rsid w:val="00860924"/>
    <w:rsid w:val="008609A6"/>
    <w:rsid w:val="00860D29"/>
    <w:rsid w:val="00861078"/>
    <w:rsid w:val="008611E1"/>
    <w:rsid w:val="00861738"/>
    <w:rsid w:val="00861895"/>
    <w:rsid w:val="00861E1B"/>
    <w:rsid w:val="00862041"/>
    <w:rsid w:val="008622A3"/>
    <w:rsid w:val="00862F01"/>
    <w:rsid w:val="00862FED"/>
    <w:rsid w:val="0086321B"/>
    <w:rsid w:val="0086343A"/>
    <w:rsid w:val="008635A3"/>
    <w:rsid w:val="00864239"/>
    <w:rsid w:val="008649DF"/>
    <w:rsid w:val="00864B55"/>
    <w:rsid w:val="00864C47"/>
    <w:rsid w:val="00864E90"/>
    <w:rsid w:val="00864F78"/>
    <w:rsid w:val="008650D5"/>
    <w:rsid w:val="00865C80"/>
    <w:rsid w:val="00865F2D"/>
    <w:rsid w:val="00865FB2"/>
    <w:rsid w:val="0086611E"/>
    <w:rsid w:val="00866456"/>
    <w:rsid w:val="00866578"/>
    <w:rsid w:val="008666DB"/>
    <w:rsid w:val="00866787"/>
    <w:rsid w:val="008668B2"/>
    <w:rsid w:val="00866C59"/>
    <w:rsid w:val="00866D34"/>
    <w:rsid w:val="00866F4C"/>
    <w:rsid w:val="0086710A"/>
    <w:rsid w:val="008673DE"/>
    <w:rsid w:val="00867479"/>
    <w:rsid w:val="008676EA"/>
    <w:rsid w:val="008679DB"/>
    <w:rsid w:val="00867BA3"/>
    <w:rsid w:val="00867C64"/>
    <w:rsid w:val="00870036"/>
    <w:rsid w:val="00870044"/>
    <w:rsid w:val="00870315"/>
    <w:rsid w:val="00870B53"/>
    <w:rsid w:val="00870EB0"/>
    <w:rsid w:val="00870F37"/>
    <w:rsid w:val="00870FD0"/>
    <w:rsid w:val="0087135F"/>
    <w:rsid w:val="0087156F"/>
    <w:rsid w:val="00871FC3"/>
    <w:rsid w:val="00872313"/>
    <w:rsid w:val="0087250E"/>
    <w:rsid w:val="00872886"/>
    <w:rsid w:val="00872D94"/>
    <w:rsid w:val="00872F87"/>
    <w:rsid w:val="0087333E"/>
    <w:rsid w:val="0087368E"/>
    <w:rsid w:val="008739A4"/>
    <w:rsid w:val="008739BE"/>
    <w:rsid w:val="008742F9"/>
    <w:rsid w:val="008746D2"/>
    <w:rsid w:val="00874985"/>
    <w:rsid w:val="00874A97"/>
    <w:rsid w:val="00874C39"/>
    <w:rsid w:val="00874F26"/>
    <w:rsid w:val="00875254"/>
    <w:rsid w:val="0087536D"/>
    <w:rsid w:val="00875438"/>
    <w:rsid w:val="008757A2"/>
    <w:rsid w:val="00876610"/>
    <w:rsid w:val="00876676"/>
    <w:rsid w:val="0087700F"/>
    <w:rsid w:val="008770B8"/>
    <w:rsid w:val="00877162"/>
    <w:rsid w:val="0087739F"/>
    <w:rsid w:val="0087765B"/>
    <w:rsid w:val="00877E9A"/>
    <w:rsid w:val="008800C5"/>
    <w:rsid w:val="00880364"/>
    <w:rsid w:val="008803F2"/>
    <w:rsid w:val="00880671"/>
    <w:rsid w:val="00880E25"/>
    <w:rsid w:val="008812EC"/>
    <w:rsid w:val="0088134D"/>
    <w:rsid w:val="0088141C"/>
    <w:rsid w:val="0088150A"/>
    <w:rsid w:val="00881924"/>
    <w:rsid w:val="00881A1B"/>
    <w:rsid w:val="008820C4"/>
    <w:rsid w:val="008821FD"/>
    <w:rsid w:val="0088238F"/>
    <w:rsid w:val="0088266D"/>
    <w:rsid w:val="00882EBE"/>
    <w:rsid w:val="00883425"/>
    <w:rsid w:val="00883913"/>
    <w:rsid w:val="00883E24"/>
    <w:rsid w:val="00884822"/>
    <w:rsid w:val="008848D3"/>
    <w:rsid w:val="00884A11"/>
    <w:rsid w:val="00884AB6"/>
    <w:rsid w:val="00884B1E"/>
    <w:rsid w:val="00884BCE"/>
    <w:rsid w:val="00884C3E"/>
    <w:rsid w:val="00884ED7"/>
    <w:rsid w:val="00884FE0"/>
    <w:rsid w:val="0088513B"/>
    <w:rsid w:val="0088586A"/>
    <w:rsid w:val="00885F01"/>
    <w:rsid w:val="00886348"/>
    <w:rsid w:val="008866F7"/>
    <w:rsid w:val="0088686C"/>
    <w:rsid w:val="00886A87"/>
    <w:rsid w:val="00887F17"/>
    <w:rsid w:val="00890342"/>
    <w:rsid w:val="00890353"/>
    <w:rsid w:val="00890692"/>
    <w:rsid w:val="008906F2"/>
    <w:rsid w:val="00890E6F"/>
    <w:rsid w:val="00891015"/>
    <w:rsid w:val="008912D2"/>
    <w:rsid w:val="00891310"/>
    <w:rsid w:val="00891592"/>
    <w:rsid w:val="008915E3"/>
    <w:rsid w:val="00891E9E"/>
    <w:rsid w:val="00892870"/>
    <w:rsid w:val="00893080"/>
    <w:rsid w:val="00893081"/>
    <w:rsid w:val="00893563"/>
    <w:rsid w:val="0089359D"/>
    <w:rsid w:val="008938B5"/>
    <w:rsid w:val="00893BEE"/>
    <w:rsid w:val="00894B45"/>
    <w:rsid w:val="00894F91"/>
    <w:rsid w:val="008950D9"/>
    <w:rsid w:val="008952DA"/>
    <w:rsid w:val="008953FB"/>
    <w:rsid w:val="008955B3"/>
    <w:rsid w:val="00895CB2"/>
    <w:rsid w:val="00895ECA"/>
    <w:rsid w:val="00895F79"/>
    <w:rsid w:val="00896064"/>
    <w:rsid w:val="0089607C"/>
    <w:rsid w:val="0089628E"/>
    <w:rsid w:val="008971CA"/>
    <w:rsid w:val="008974E4"/>
    <w:rsid w:val="00897E35"/>
    <w:rsid w:val="008A049B"/>
    <w:rsid w:val="008A0CA6"/>
    <w:rsid w:val="008A0CA8"/>
    <w:rsid w:val="008A0FBD"/>
    <w:rsid w:val="008A14E3"/>
    <w:rsid w:val="008A158E"/>
    <w:rsid w:val="008A18DB"/>
    <w:rsid w:val="008A1C19"/>
    <w:rsid w:val="008A1D00"/>
    <w:rsid w:val="008A26AF"/>
    <w:rsid w:val="008A27AA"/>
    <w:rsid w:val="008A2F68"/>
    <w:rsid w:val="008A308E"/>
    <w:rsid w:val="008A380A"/>
    <w:rsid w:val="008A3D80"/>
    <w:rsid w:val="008A410C"/>
    <w:rsid w:val="008A45A0"/>
    <w:rsid w:val="008A4AD2"/>
    <w:rsid w:val="008A4D96"/>
    <w:rsid w:val="008A4DAF"/>
    <w:rsid w:val="008A4E85"/>
    <w:rsid w:val="008A503A"/>
    <w:rsid w:val="008A5471"/>
    <w:rsid w:val="008A68CF"/>
    <w:rsid w:val="008A6C70"/>
    <w:rsid w:val="008A707F"/>
    <w:rsid w:val="008A767D"/>
    <w:rsid w:val="008A76AC"/>
    <w:rsid w:val="008A76FD"/>
    <w:rsid w:val="008A778C"/>
    <w:rsid w:val="008A78FF"/>
    <w:rsid w:val="008A7D6A"/>
    <w:rsid w:val="008A7E65"/>
    <w:rsid w:val="008B00EF"/>
    <w:rsid w:val="008B02E6"/>
    <w:rsid w:val="008B035D"/>
    <w:rsid w:val="008B0EEA"/>
    <w:rsid w:val="008B1DDF"/>
    <w:rsid w:val="008B28CB"/>
    <w:rsid w:val="008B2E01"/>
    <w:rsid w:val="008B3A13"/>
    <w:rsid w:val="008B3BA7"/>
    <w:rsid w:val="008B3D6F"/>
    <w:rsid w:val="008B45BA"/>
    <w:rsid w:val="008B4A4A"/>
    <w:rsid w:val="008B4D51"/>
    <w:rsid w:val="008B4FA6"/>
    <w:rsid w:val="008B4FD8"/>
    <w:rsid w:val="008B5282"/>
    <w:rsid w:val="008B53CD"/>
    <w:rsid w:val="008B5D80"/>
    <w:rsid w:val="008B604D"/>
    <w:rsid w:val="008B6182"/>
    <w:rsid w:val="008B6431"/>
    <w:rsid w:val="008B664A"/>
    <w:rsid w:val="008B66BA"/>
    <w:rsid w:val="008B6834"/>
    <w:rsid w:val="008B7402"/>
    <w:rsid w:val="008B7537"/>
    <w:rsid w:val="008B7613"/>
    <w:rsid w:val="008B7B10"/>
    <w:rsid w:val="008B7BA2"/>
    <w:rsid w:val="008B7C17"/>
    <w:rsid w:val="008B7CE3"/>
    <w:rsid w:val="008B7D65"/>
    <w:rsid w:val="008B7FDF"/>
    <w:rsid w:val="008C0097"/>
    <w:rsid w:val="008C044C"/>
    <w:rsid w:val="008C04FC"/>
    <w:rsid w:val="008C065A"/>
    <w:rsid w:val="008C09A5"/>
    <w:rsid w:val="008C0F13"/>
    <w:rsid w:val="008C13BE"/>
    <w:rsid w:val="008C1B0C"/>
    <w:rsid w:val="008C1B3A"/>
    <w:rsid w:val="008C216A"/>
    <w:rsid w:val="008C2AEF"/>
    <w:rsid w:val="008C2D01"/>
    <w:rsid w:val="008C3131"/>
    <w:rsid w:val="008C370A"/>
    <w:rsid w:val="008C37EB"/>
    <w:rsid w:val="008C399A"/>
    <w:rsid w:val="008C3F1A"/>
    <w:rsid w:val="008C40E6"/>
    <w:rsid w:val="008C47B5"/>
    <w:rsid w:val="008C48CC"/>
    <w:rsid w:val="008C4FBB"/>
    <w:rsid w:val="008C50FB"/>
    <w:rsid w:val="008C52E2"/>
    <w:rsid w:val="008C5D66"/>
    <w:rsid w:val="008C5D92"/>
    <w:rsid w:val="008C5E4B"/>
    <w:rsid w:val="008C603E"/>
    <w:rsid w:val="008C62EA"/>
    <w:rsid w:val="008C6722"/>
    <w:rsid w:val="008C688E"/>
    <w:rsid w:val="008C695E"/>
    <w:rsid w:val="008C6F2B"/>
    <w:rsid w:val="008C75D4"/>
    <w:rsid w:val="008C7E64"/>
    <w:rsid w:val="008D0F7A"/>
    <w:rsid w:val="008D13DD"/>
    <w:rsid w:val="008D14FC"/>
    <w:rsid w:val="008D169A"/>
    <w:rsid w:val="008D18CB"/>
    <w:rsid w:val="008D1F2D"/>
    <w:rsid w:val="008D28CA"/>
    <w:rsid w:val="008D2EFE"/>
    <w:rsid w:val="008D305A"/>
    <w:rsid w:val="008D3284"/>
    <w:rsid w:val="008D34EC"/>
    <w:rsid w:val="008D371C"/>
    <w:rsid w:val="008D389A"/>
    <w:rsid w:val="008D3BA4"/>
    <w:rsid w:val="008D410A"/>
    <w:rsid w:val="008D4DA9"/>
    <w:rsid w:val="008D4FFC"/>
    <w:rsid w:val="008D507F"/>
    <w:rsid w:val="008D510A"/>
    <w:rsid w:val="008D5308"/>
    <w:rsid w:val="008D5883"/>
    <w:rsid w:val="008D5BA0"/>
    <w:rsid w:val="008D5BC8"/>
    <w:rsid w:val="008D6161"/>
    <w:rsid w:val="008D6505"/>
    <w:rsid w:val="008D6575"/>
    <w:rsid w:val="008D6746"/>
    <w:rsid w:val="008D68E4"/>
    <w:rsid w:val="008D6FF3"/>
    <w:rsid w:val="008D71E2"/>
    <w:rsid w:val="008D7771"/>
    <w:rsid w:val="008D790A"/>
    <w:rsid w:val="008D7F58"/>
    <w:rsid w:val="008D7F97"/>
    <w:rsid w:val="008E0506"/>
    <w:rsid w:val="008E06F2"/>
    <w:rsid w:val="008E09C4"/>
    <w:rsid w:val="008E09C7"/>
    <w:rsid w:val="008E0CA7"/>
    <w:rsid w:val="008E0CFF"/>
    <w:rsid w:val="008E1822"/>
    <w:rsid w:val="008E1C1B"/>
    <w:rsid w:val="008E1CEC"/>
    <w:rsid w:val="008E1E39"/>
    <w:rsid w:val="008E2799"/>
    <w:rsid w:val="008E2906"/>
    <w:rsid w:val="008E29CB"/>
    <w:rsid w:val="008E3069"/>
    <w:rsid w:val="008E306A"/>
    <w:rsid w:val="008E31A7"/>
    <w:rsid w:val="008E3719"/>
    <w:rsid w:val="008E38C3"/>
    <w:rsid w:val="008E3B51"/>
    <w:rsid w:val="008E3BB5"/>
    <w:rsid w:val="008E3E3B"/>
    <w:rsid w:val="008E42C5"/>
    <w:rsid w:val="008E443B"/>
    <w:rsid w:val="008E48B5"/>
    <w:rsid w:val="008E5175"/>
    <w:rsid w:val="008E5257"/>
    <w:rsid w:val="008E5388"/>
    <w:rsid w:val="008E5497"/>
    <w:rsid w:val="008E5D6B"/>
    <w:rsid w:val="008E6479"/>
    <w:rsid w:val="008E64C7"/>
    <w:rsid w:val="008E6743"/>
    <w:rsid w:val="008E6C3E"/>
    <w:rsid w:val="008E6FF7"/>
    <w:rsid w:val="008E7544"/>
    <w:rsid w:val="008E7564"/>
    <w:rsid w:val="008E76F0"/>
    <w:rsid w:val="008E79BB"/>
    <w:rsid w:val="008E7A23"/>
    <w:rsid w:val="008F0598"/>
    <w:rsid w:val="008F06A8"/>
    <w:rsid w:val="008F0932"/>
    <w:rsid w:val="008F0CB0"/>
    <w:rsid w:val="008F0EE4"/>
    <w:rsid w:val="008F13BE"/>
    <w:rsid w:val="008F15D0"/>
    <w:rsid w:val="008F15FE"/>
    <w:rsid w:val="008F1922"/>
    <w:rsid w:val="008F1AE2"/>
    <w:rsid w:val="008F1C99"/>
    <w:rsid w:val="008F1D28"/>
    <w:rsid w:val="008F1D6D"/>
    <w:rsid w:val="008F1DD7"/>
    <w:rsid w:val="008F20DF"/>
    <w:rsid w:val="008F219B"/>
    <w:rsid w:val="008F22F2"/>
    <w:rsid w:val="008F259C"/>
    <w:rsid w:val="008F27D7"/>
    <w:rsid w:val="008F2D29"/>
    <w:rsid w:val="008F2DAF"/>
    <w:rsid w:val="008F3026"/>
    <w:rsid w:val="008F335C"/>
    <w:rsid w:val="008F3BA7"/>
    <w:rsid w:val="008F3D64"/>
    <w:rsid w:val="008F3DF1"/>
    <w:rsid w:val="008F42C5"/>
    <w:rsid w:val="008F4401"/>
    <w:rsid w:val="008F464D"/>
    <w:rsid w:val="008F466F"/>
    <w:rsid w:val="008F5187"/>
    <w:rsid w:val="008F525E"/>
    <w:rsid w:val="008F58F8"/>
    <w:rsid w:val="008F5A85"/>
    <w:rsid w:val="008F604C"/>
    <w:rsid w:val="008F60D8"/>
    <w:rsid w:val="008F6384"/>
    <w:rsid w:val="008F64A6"/>
    <w:rsid w:val="008F64CF"/>
    <w:rsid w:val="008F693D"/>
    <w:rsid w:val="008F6981"/>
    <w:rsid w:val="008F6D2C"/>
    <w:rsid w:val="008F723B"/>
    <w:rsid w:val="008F72C6"/>
    <w:rsid w:val="008F7312"/>
    <w:rsid w:val="008F764D"/>
    <w:rsid w:val="008F79F9"/>
    <w:rsid w:val="008F7A9C"/>
    <w:rsid w:val="0090059D"/>
    <w:rsid w:val="009007C7"/>
    <w:rsid w:val="00900994"/>
    <w:rsid w:val="00900A8F"/>
    <w:rsid w:val="00900C6C"/>
    <w:rsid w:val="00900CCE"/>
    <w:rsid w:val="00900D60"/>
    <w:rsid w:val="00901F84"/>
    <w:rsid w:val="00902273"/>
    <w:rsid w:val="00902727"/>
    <w:rsid w:val="00902916"/>
    <w:rsid w:val="0090291D"/>
    <w:rsid w:val="00902C5E"/>
    <w:rsid w:val="0090312B"/>
    <w:rsid w:val="009031C7"/>
    <w:rsid w:val="0090341B"/>
    <w:rsid w:val="009036A5"/>
    <w:rsid w:val="009036E3"/>
    <w:rsid w:val="00903F76"/>
    <w:rsid w:val="0090415C"/>
    <w:rsid w:val="009041B7"/>
    <w:rsid w:val="00904635"/>
    <w:rsid w:val="00904646"/>
    <w:rsid w:val="0090471D"/>
    <w:rsid w:val="00904867"/>
    <w:rsid w:val="00904F09"/>
    <w:rsid w:val="00904F4B"/>
    <w:rsid w:val="00905404"/>
    <w:rsid w:val="0090587D"/>
    <w:rsid w:val="009058FE"/>
    <w:rsid w:val="009061DB"/>
    <w:rsid w:val="0090647F"/>
    <w:rsid w:val="009066BA"/>
    <w:rsid w:val="00906F0C"/>
    <w:rsid w:val="00907DAB"/>
    <w:rsid w:val="00907E54"/>
    <w:rsid w:val="0091055A"/>
    <w:rsid w:val="00910708"/>
    <w:rsid w:val="00910CBF"/>
    <w:rsid w:val="00910F8F"/>
    <w:rsid w:val="009112EB"/>
    <w:rsid w:val="0091132F"/>
    <w:rsid w:val="00911C43"/>
    <w:rsid w:val="009121CC"/>
    <w:rsid w:val="0091266A"/>
    <w:rsid w:val="009128D4"/>
    <w:rsid w:val="009131F0"/>
    <w:rsid w:val="0091347F"/>
    <w:rsid w:val="0091398C"/>
    <w:rsid w:val="009141BE"/>
    <w:rsid w:val="00914425"/>
    <w:rsid w:val="009149FB"/>
    <w:rsid w:val="0091507C"/>
    <w:rsid w:val="0091528A"/>
    <w:rsid w:val="00915A84"/>
    <w:rsid w:val="0091659F"/>
    <w:rsid w:val="0091676E"/>
    <w:rsid w:val="00916B45"/>
    <w:rsid w:val="00916D34"/>
    <w:rsid w:val="00916E8D"/>
    <w:rsid w:val="00916F06"/>
    <w:rsid w:val="00916F37"/>
    <w:rsid w:val="00916FBF"/>
    <w:rsid w:val="0091736D"/>
    <w:rsid w:val="009176C1"/>
    <w:rsid w:val="009176FF"/>
    <w:rsid w:val="009178D9"/>
    <w:rsid w:val="0091791B"/>
    <w:rsid w:val="00917B12"/>
    <w:rsid w:val="00917DF2"/>
    <w:rsid w:val="00917EAE"/>
    <w:rsid w:val="00920433"/>
    <w:rsid w:val="00920476"/>
    <w:rsid w:val="00920534"/>
    <w:rsid w:val="00920BBA"/>
    <w:rsid w:val="009211A1"/>
    <w:rsid w:val="00921640"/>
    <w:rsid w:val="009218D4"/>
    <w:rsid w:val="00921936"/>
    <w:rsid w:val="00922D47"/>
    <w:rsid w:val="00922D9C"/>
    <w:rsid w:val="00923114"/>
    <w:rsid w:val="009233A2"/>
    <w:rsid w:val="00923EE4"/>
    <w:rsid w:val="00923FE9"/>
    <w:rsid w:val="009240F5"/>
    <w:rsid w:val="00924737"/>
    <w:rsid w:val="009247CE"/>
    <w:rsid w:val="009248A6"/>
    <w:rsid w:val="009249DD"/>
    <w:rsid w:val="00924F48"/>
    <w:rsid w:val="009258A3"/>
    <w:rsid w:val="00925BAF"/>
    <w:rsid w:val="00925F03"/>
    <w:rsid w:val="00926192"/>
    <w:rsid w:val="009261EC"/>
    <w:rsid w:val="00926742"/>
    <w:rsid w:val="00926849"/>
    <w:rsid w:val="00926996"/>
    <w:rsid w:val="00926DE7"/>
    <w:rsid w:val="00926E69"/>
    <w:rsid w:val="00926E83"/>
    <w:rsid w:val="00926FDB"/>
    <w:rsid w:val="009270EB"/>
    <w:rsid w:val="009274CE"/>
    <w:rsid w:val="00927982"/>
    <w:rsid w:val="00927E6A"/>
    <w:rsid w:val="009302ED"/>
    <w:rsid w:val="0093037A"/>
    <w:rsid w:val="00930816"/>
    <w:rsid w:val="00930B11"/>
    <w:rsid w:val="00930F43"/>
    <w:rsid w:val="009313C2"/>
    <w:rsid w:val="009315C9"/>
    <w:rsid w:val="009317FA"/>
    <w:rsid w:val="00931956"/>
    <w:rsid w:val="009322F9"/>
    <w:rsid w:val="0093273C"/>
    <w:rsid w:val="00932899"/>
    <w:rsid w:val="009328FC"/>
    <w:rsid w:val="00932DA4"/>
    <w:rsid w:val="0093356D"/>
    <w:rsid w:val="00933898"/>
    <w:rsid w:val="00933960"/>
    <w:rsid w:val="00933BA0"/>
    <w:rsid w:val="00933DE8"/>
    <w:rsid w:val="00933E24"/>
    <w:rsid w:val="0093425A"/>
    <w:rsid w:val="009349A6"/>
    <w:rsid w:val="00934D1E"/>
    <w:rsid w:val="00935486"/>
    <w:rsid w:val="009355A0"/>
    <w:rsid w:val="009357F0"/>
    <w:rsid w:val="00935F45"/>
    <w:rsid w:val="009361EA"/>
    <w:rsid w:val="00936C34"/>
    <w:rsid w:val="00936C44"/>
    <w:rsid w:val="00936F46"/>
    <w:rsid w:val="00937052"/>
    <w:rsid w:val="009372C7"/>
    <w:rsid w:val="00937329"/>
    <w:rsid w:val="009376AC"/>
    <w:rsid w:val="00937B4B"/>
    <w:rsid w:val="00937C21"/>
    <w:rsid w:val="00937EF1"/>
    <w:rsid w:val="0094022D"/>
    <w:rsid w:val="00940467"/>
    <w:rsid w:val="009405BB"/>
    <w:rsid w:val="00940893"/>
    <w:rsid w:val="0094116C"/>
    <w:rsid w:val="00941508"/>
    <w:rsid w:val="0094154D"/>
    <w:rsid w:val="009418F4"/>
    <w:rsid w:val="00941C0B"/>
    <w:rsid w:val="00941F7F"/>
    <w:rsid w:val="0094285C"/>
    <w:rsid w:val="0094330C"/>
    <w:rsid w:val="009437FD"/>
    <w:rsid w:val="00943E17"/>
    <w:rsid w:val="00944008"/>
    <w:rsid w:val="0094429F"/>
    <w:rsid w:val="00944570"/>
    <w:rsid w:val="00944787"/>
    <w:rsid w:val="00944954"/>
    <w:rsid w:val="0094501C"/>
    <w:rsid w:val="009454AC"/>
    <w:rsid w:val="00945730"/>
    <w:rsid w:val="009459EC"/>
    <w:rsid w:val="00945A03"/>
    <w:rsid w:val="00945C80"/>
    <w:rsid w:val="0094679D"/>
    <w:rsid w:val="00946860"/>
    <w:rsid w:val="00946E9A"/>
    <w:rsid w:val="00947120"/>
    <w:rsid w:val="00947371"/>
    <w:rsid w:val="00947466"/>
    <w:rsid w:val="0095006C"/>
    <w:rsid w:val="00950102"/>
    <w:rsid w:val="00950115"/>
    <w:rsid w:val="00950128"/>
    <w:rsid w:val="00950A5D"/>
    <w:rsid w:val="00951430"/>
    <w:rsid w:val="0095155F"/>
    <w:rsid w:val="00951736"/>
    <w:rsid w:val="009518A2"/>
    <w:rsid w:val="00951D32"/>
    <w:rsid w:val="00951FAF"/>
    <w:rsid w:val="00952C64"/>
    <w:rsid w:val="00953313"/>
    <w:rsid w:val="00953A26"/>
    <w:rsid w:val="00953E01"/>
    <w:rsid w:val="00953F7B"/>
    <w:rsid w:val="009543C1"/>
    <w:rsid w:val="00954429"/>
    <w:rsid w:val="0095521B"/>
    <w:rsid w:val="009553D7"/>
    <w:rsid w:val="00955CBF"/>
    <w:rsid w:val="00956150"/>
    <w:rsid w:val="009563CE"/>
    <w:rsid w:val="0095683C"/>
    <w:rsid w:val="00956B09"/>
    <w:rsid w:val="00956BEF"/>
    <w:rsid w:val="00957343"/>
    <w:rsid w:val="00957877"/>
    <w:rsid w:val="00957D39"/>
    <w:rsid w:val="00957EA1"/>
    <w:rsid w:val="00957F78"/>
    <w:rsid w:val="00960067"/>
    <w:rsid w:val="009600EA"/>
    <w:rsid w:val="0096047D"/>
    <w:rsid w:val="00960876"/>
    <w:rsid w:val="00960C64"/>
    <w:rsid w:val="00960D13"/>
    <w:rsid w:val="00960DA9"/>
    <w:rsid w:val="009618D2"/>
    <w:rsid w:val="00961D1E"/>
    <w:rsid w:val="009623E6"/>
    <w:rsid w:val="009623FA"/>
    <w:rsid w:val="009629A8"/>
    <w:rsid w:val="00962E80"/>
    <w:rsid w:val="009630AD"/>
    <w:rsid w:val="009631A5"/>
    <w:rsid w:val="0096348B"/>
    <w:rsid w:val="00963665"/>
    <w:rsid w:val="00963AC9"/>
    <w:rsid w:val="00963C83"/>
    <w:rsid w:val="00963D52"/>
    <w:rsid w:val="0096432A"/>
    <w:rsid w:val="00964746"/>
    <w:rsid w:val="00964E00"/>
    <w:rsid w:val="00964E89"/>
    <w:rsid w:val="0096504B"/>
    <w:rsid w:val="00965258"/>
    <w:rsid w:val="009653FB"/>
    <w:rsid w:val="009658B1"/>
    <w:rsid w:val="00965B35"/>
    <w:rsid w:val="009660EE"/>
    <w:rsid w:val="0096696F"/>
    <w:rsid w:val="00966ADF"/>
    <w:rsid w:val="00967018"/>
    <w:rsid w:val="009702E1"/>
    <w:rsid w:val="00970315"/>
    <w:rsid w:val="009703A4"/>
    <w:rsid w:val="009705FD"/>
    <w:rsid w:val="00970897"/>
    <w:rsid w:val="00970B32"/>
    <w:rsid w:val="00971D3C"/>
    <w:rsid w:val="00972639"/>
    <w:rsid w:val="00972855"/>
    <w:rsid w:val="009728A8"/>
    <w:rsid w:val="00972919"/>
    <w:rsid w:val="00972969"/>
    <w:rsid w:val="00972A32"/>
    <w:rsid w:val="00972A42"/>
    <w:rsid w:val="00972BA3"/>
    <w:rsid w:val="0097382E"/>
    <w:rsid w:val="00973EE9"/>
    <w:rsid w:val="00974855"/>
    <w:rsid w:val="009748C7"/>
    <w:rsid w:val="009750F7"/>
    <w:rsid w:val="00975148"/>
    <w:rsid w:val="0097564D"/>
    <w:rsid w:val="00975718"/>
    <w:rsid w:val="00975B67"/>
    <w:rsid w:val="00975F60"/>
    <w:rsid w:val="00976328"/>
    <w:rsid w:val="009763D3"/>
    <w:rsid w:val="00976491"/>
    <w:rsid w:val="0097680D"/>
    <w:rsid w:val="009769E8"/>
    <w:rsid w:val="00976B3C"/>
    <w:rsid w:val="00976C46"/>
    <w:rsid w:val="00976C66"/>
    <w:rsid w:val="00977113"/>
    <w:rsid w:val="00977150"/>
    <w:rsid w:val="009775D7"/>
    <w:rsid w:val="00977785"/>
    <w:rsid w:val="00977795"/>
    <w:rsid w:val="00977987"/>
    <w:rsid w:val="00977B78"/>
    <w:rsid w:val="00977E2C"/>
    <w:rsid w:val="0098045E"/>
    <w:rsid w:val="0098058B"/>
    <w:rsid w:val="009806DB"/>
    <w:rsid w:val="00980728"/>
    <w:rsid w:val="009807E0"/>
    <w:rsid w:val="00980A93"/>
    <w:rsid w:val="0098156A"/>
    <w:rsid w:val="0098189C"/>
    <w:rsid w:val="00981D44"/>
    <w:rsid w:val="00982202"/>
    <w:rsid w:val="00982438"/>
    <w:rsid w:val="00982CA8"/>
    <w:rsid w:val="00982F4E"/>
    <w:rsid w:val="00983AE1"/>
    <w:rsid w:val="00983C82"/>
    <w:rsid w:val="0098404C"/>
    <w:rsid w:val="009841E9"/>
    <w:rsid w:val="00984A23"/>
    <w:rsid w:val="00984F94"/>
    <w:rsid w:val="0098500A"/>
    <w:rsid w:val="00985283"/>
    <w:rsid w:val="009852FA"/>
    <w:rsid w:val="00985C85"/>
    <w:rsid w:val="00985D07"/>
    <w:rsid w:val="00985D64"/>
    <w:rsid w:val="00986C00"/>
    <w:rsid w:val="0098718F"/>
    <w:rsid w:val="00987211"/>
    <w:rsid w:val="00987436"/>
    <w:rsid w:val="0098750F"/>
    <w:rsid w:val="00987CE5"/>
    <w:rsid w:val="00987D2A"/>
    <w:rsid w:val="00987F35"/>
    <w:rsid w:val="00987F88"/>
    <w:rsid w:val="00990821"/>
    <w:rsid w:val="009909C6"/>
    <w:rsid w:val="009912A0"/>
    <w:rsid w:val="009915AA"/>
    <w:rsid w:val="0099179C"/>
    <w:rsid w:val="009918D7"/>
    <w:rsid w:val="00992206"/>
    <w:rsid w:val="009925A9"/>
    <w:rsid w:val="009929CA"/>
    <w:rsid w:val="00992A1E"/>
    <w:rsid w:val="00992BE5"/>
    <w:rsid w:val="00992CC0"/>
    <w:rsid w:val="00992F95"/>
    <w:rsid w:val="00993DBE"/>
    <w:rsid w:val="00993E0E"/>
    <w:rsid w:val="00993F80"/>
    <w:rsid w:val="009940CA"/>
    <w:rsid w:val="0099470D"/>
    <w:rsid w:val="00994D11"/>
    <w:rsid w:val="00994FFD"/>
    <w:rsid w:val="009953FA"/>
    <w:rsid w:val="00995541"/>
    <w:rsid w:val="0099558B"/>
    <w:rsid w:val="0099563C"/>
    <w:rsid w:val="00995671"/>
    <w:rsid w:val="00995992"/>
    <w:rsid w:val="00995C75"/>
    <w:rsid w:val="00995DA5"/>
    <w:rsid w:val="00995E1A"/>
    <w:rsid w:val="00995E50"/>
    <w:rsid w:val="009960EE"/>
    <w:rsid w:val="009961E3"/>
    <w:rsid w:val="00996257"/>
    <w:rsid w:val="00996300"/>
    <w:rsid w:val="0099636C"/>
    <w:rsid w:val="00996477"/>
    <w:rsid w:val="00996708"/>
    <w:rsid w:val="0099681E"/>
    <w:rsid w:val="00996D79"/>
    <w:rsid w:val="009973E0"/>
    <w:rsid w:val="00997BDA"/>
    <w:rsid w:val="00997D48"/>
    <w:rsid w:val="00997E06"/>
    <w:rsid w:val="009A00F4"/>
    <w:rsid w:val="009A03E5"/>
    <w:rsid w:val="009A0B6E"/>
    <w:rsid w:val="009A0F3B"/>
    <w:rsid w:val="009A159C"/>
    <w:rsid w:val="009A160C"/>
    <w:rsid w:val="009A1B6C"/>
    <w:rsid w:val="009A1BB4"/>
    <w:rsid w:val="009A1C3C"/>
    <w:rsid w:val="009A2561"/>
    <w:rsid w:val="009A2628"/>
    <w:rsid w:val="009A2779"/>
    <w:rsid w:val="009A3200"/>
    <w:rsid w:val="009A3391"/>
    <w:rsid w:val="009A38DB"/>
    <w:rsid w:val="009A3B66"/>
    <w:rsid w:val="009A499C"/>
    <w:rsid w:val="009A49F5"/>
    <w:rsid w:val="009A4C21"/>
    <w:rsid w:val="009A50FE"/>
    <w:rsid w:val="009A5373"/>
    <w:rsid w:val="009A54EB"/>
    <w:rsid w:val="009A6C08"/>
    <w:rsid w:val="009B013E"/>
    <w:rsid w:val="009B02D2"/>
    <w:rsid w:val="009B03E1"/>
    <w:rsid w:val="009B07D9"/>
    <w:rsid w:val="009B0897"/>
    <w:rsid w:val="009B08AF"/>
    <w:rsid w:val="009B0D68"/>
    <w:rsid w:val="009B122F"/>
    <w:rsid w:val="009B1E8F"/>
    <w:rsid w:val="009B2E78"/>
    <w:rsid w:val="009B2ED3"/>
    <w:rsid w:val="009B31A8"/>
    <w:rsid w:val="009B3374"/>
    <w:rsid w:val="009B362A"/>
    <w:rsid w:val="009B365A"/>
    <w:rsid w:val="009B36CF"/>
    <w:rsid w:val="009B3CC0"/>
    <w:rsid w:val="009B3E0E"/>
    <w:rsid w:val="009B4102"/>
    <w:rsid w:val="009B417F"/>
    <w:rsid w:val="009B4354"/>
    <w:rsid w:val="009B4523"/>
    <w:rsid w:val="009B4644"/>
    <w:rsid w:val="009B5617"/>
    <w:rsid w:val="009B5AAD"/>
    <w:rsid w:val="009B5AFD"/>
    <w:rsid w:val="009B5D93"/>
    <w:rsid w:val="009B5EB5"/>
    <w:rsid w:val="009B6017"/>
    <w:rsid w:val="009B6039"/>
    <w:rsid w:val="009B6284"/>
    <w:rsid w:val="009B6687"/>
    <w:rsid w:val="009B66E0"/>
    <w:rsid w:val="009B696D"/>
    <w:rsid w:val="009B699B"/>
    <w:rsid w:val="009B6F5A"/>
    <w:rsid w:val="009B73FA"/>
    <w:rsid w:val="009B76F7"/>
    <w:rsid w:val="009B7BD9"/>
    <w:rsid w:val="009C0135"/>
    <w:rsid w:val="009C0556"/>
    <w:rsid w:val="009C06DA"/>
    <w:rsid w:val="009C0B27"/>
    <w:rsid w:val="009C0BC1"/>
    <w:rsid w:val="009C0BF8"/>
    <w:rsid w:val="009C0DAF"/>
    <w:rsid w:val="009C15C8"/>
    <w:rsid w:val="009C1B37"/>
    <w:rsid w:val="009C1CD0"/>
    <w:rsid w:val="009C206F"/>
    <w:rsid w:val="009C2332"/>
    <w:rsid w:val="009C252C"/>
    <w:rsid w:val="009C2722"/>
    <w:rsid w:val="009C2DE2"/>
    <w:rsid w:val="009C3476"/>
    <w:rsid w:val="009C3644"/>
    <w:rsid w:val="009C3D07"/>
    <w:rsid w:val="009C4126"/>
    <w:rsid w:val="009C42C7"/>
    <w:rsid w:val="009C4649"/>
    <w:rsid w:val="009C5270"/>
    <w:rsid w:val="009C55A3"/>
    <w:rsid w:val="009C5DB9"/>
    <w:rsid w:val="009C5E9C"/>
    <w:rsid w:val="009C5ED5"/>
    <w:rsid w:val="009C5F15"/>
    <w:rsid w:val="009C672F"/>
    <w:rsid w:val="009C67F6"/>
    <w:rsid w:val="009C6861"/>
    <w:rsid w:val="009C6D51"/>
    <w:rsid w:val="009C6FC9"/>
    <w:rsid w:val="009C7038"/>
    <w:rsid w:val="009C7222"/>
    <w:rsid w:val="009C7409"/>
    <w:rsid w:val="009C768F"/>
    <w:rsid w:val="009C7C5F"/>
    <w:rsid w:val="009C7CC9"/>
    <w:rsid w:val="009C7DD5"/>
    <w:rsid w:val="009C7E7A"/>
    <w:rsid w:val="009D015A"/>
    <w:rsid w:val="009D020C"/>
    <w:rsid w:val="009D034A"/>
    <w:rsid w:val="009D0EEA"/>
    <w:rsid w:val="009D100C"/>
    <w:rsid w:val="009D10FB"/>
    <w:rsid w:val="009D167E"/>
    <w:rsid w:val="009D1FD2"/>
    <w:rsid w:val="009D2144"/>
    <w:rsid w:val="009D22DA"/>
    <w:rsid w:val="009D2440"/>
    <w:rsid w:val="009D2A80"/>
    <w:rsid w:val="009D2C10"/>
    <w:rsid w:val="009D2E12"/>
    <w:rsid w:val="009D3434"/>
    <w:rsid w:val="009D35B1"/>
    <w:rsid w:val="009D36EE"/>
    <w:rsid w:val="009D384A"/>
    <w:rsid w:val="009D38F7"/>
    <w:rsid w:val="009D3AE5"/>
    <w:rsid w:val="009D3E26"/>
    <w:rsid w:val="009D4832"/>
    <w:rsid w:val="009D4856"/>
    <w:rsid w:val="009D4D0C"/>
    <w:rsid w:val="009D56A9"/>
    <w:rsid w:val="009D5715"/>
    <w:rsid w:val="009D57B8"/>
    <w:rsid w:val="009D625F"/>
    <w:rsid w:val="009D6272"/>
    <w:rsid w:val="009D6520"/>
    <w:rsid w:val="009D6D01"/>
    <w:rsid w:val="009D6F06"/>
    <w:rsid w:val="009D6FF8"/>
    <w:rsid w:val="009D70E9"/>
    <w:rsid w:val="009D7472"/>
    <w:rsid w:val="009D7532"/>
    <w:rsid w:val="009D77F7"/>
    <w:rsid w:val="009D7965"/>
    <w:rsid w:val="009D7995"/>
    <w:rsid w:val="009D7D93"/>
    <w:rsid w:val="009E0159"/>
    <w:rsid w:val="009E015C"/>
    <w:rsid w:val="009E0210"/>
    <w:rsid w:val="009E0B7E"/>
    <w:rsid w:val="009E0C41"/>
    <w:rsid w:val="009E110F"/>
    <w:rsid w:val="009E1461"/>
    <w:rsid w:val="009E16F4"/>
    <w:rsid w:val="009E1FEA"/>
    <w:rsid w:val="009E2187"/>
    <w:rsid w:val="009E227D"/>
    <w:rsid w:val="009E22E2"/>
    <w:rsid w:val="009E2384"/>
    <w:rsid w:val="009E2997"/>
    <w:rsid w:val="009E2B28"/>
    <w:rsid w:val="009E2BF8"/>
    <w:rsid w:val="009E2D6E"/>
    <w:rsid w:val="009E2FA3"/>
    <w:rsid w:val="009E3BE3"/>
    <w:rsid w:val="009E3C14"/>
    <w:rsid w:val="009E3E3C"/>
    <w:rsid w:val="009E3E5C"/>
    <w:rsid w:val="009E42B8"/>
    <w:rsid w:val="009E4573"/>
    <w:rsid w:val="009E4BE9"/>
    <w:rsid w:val="009E4C37"/>
    <w:rsid w:val="009E4DE8"/>
    <w:rsid w:val="009E5019"/>
    <w:rsid w:val="009E569D"/>
    <w:rsid w:val="009E5904"/>
    <w:rsid w:val="009E5D60"/>
    <w:rsid w:val="009E5DBE"/>
    <w:rsid w:val="009E5EF3"/>
    <w:rsid w:val="009E6184"/>
    <w:rsid w:val="009E6A7F"/>
    <w:rsid w:val="009E713B"/>
    <w:rsid w:val="009E72BE"/>
    <w:rsid w:val="009E75AC"/>
    <w:rsid w:val="009E76BE"/>
    <w:rsid w:val="009E7A3B"/>
    <w:rsid w:val="009F00E2"/>
    <w:rsid w:val="009F0699"/>
    <w:rsid w:val="009F0D0A"/>
    <w:rsid w:val="009F0E81"/>
    <w:rsid w:val="009F138C"/>
    <w:rsid w:val="009F16B3"/>
    <w:rsid w:val="009F16F2"/>
    <w:rsid w:val="009F199A"/>
    <w:rsid w:val="009F1C7E"/>
    <w:rsid w:val="009F1C88"/>
    <w:rsid w:val="009F2202"/>
    <w:rsid w:val="009F284B"/>
    <w:rsid w:val="009F2968"/>
    <w:rsid w:val="009F2C4E"/>
    <w:rsid w:val="009F3027"/>
    <w:rsid w:val="009F35AD"/>
    <w:rsid w:val="009F35F7"/>
    <w:rsid w:val="009F3792"/>
    <w:rsid w:val="009F3B4F"/>
    <w:rsid w:val="009F3C1D"/>
    <w:rsid w:val="009F4092"/>
    <w:rsid w:val="009F41DD"/>
    <w:rsid w:val="009F44DC"/>
    <w:rsid w:val="009F4518"/>
    <w:rsid w:val="009F4626"/>
    <w:rsid w:val="009F51A6"/>
    <w:rsid w:val="009F5287"/>
    <w:rsid w:val="009F5B47"/>
    <w:rsid w:val="009F5B63"/>
    <w:rsid w:val="009F5D96"/>
    <w:rsid w:val="009F6DA0"/>
    <w:rsid w:val="009F7383"/>
    <w:rsid w:val="009F7690"/>
    <w:rsid w:val="009F7DB4"/>
    <w:rsid w:val="009F7DB8"/>
    <w:rsid w:val="00A00214"/>
    <w:rsid w:val="00A005D0"/>
    <w:rsid w:val="00A00893"/>
    <w:rsid w:val="00A00C42"/>
    <w:rsid w:val="00A011B1"/>
    <w:rsid w:val="00A01800"/>
    <w:rsid w:val="00A01B00"/>
    <w:rsid w:val="00A01C33"/>
    <w:rsid w:val="00A022CC"/>
    <w:rsid w:val="00A02399"/>
    <w:rsid w:val="00A02525"/>
    <w:rsid w:val="00A03456"/>
    <w:rsid w:val="00A034CE"/>
    <w:rsid w:val="00A03872"/>
    <w:rsid w:val="00A04294"/>
    <w:rsid w:val="00A0429D"/>
    <w:rsid w:val="00A0438F"/>
    <w:rsid w:val="00A04511"/>
    <w:rsid w:val="00A045AD"/>
    <w:rsid w:val="00A0460B"/>
    <w:rsid w:val="00A04D60"/>
    <w:rsid w:val="00A04F1B"/>
    <w:rsid w:val="00A0501B"/>
    <w:rsid w:val="00A0534A"/>
    <w:rsid w:val="00A05420"/>
    <w:rsid w:val="00A056C9"/>
    <w:rsid w:val="00A064CD"/>
    <w:rsid w:val="00A06738"/>
    <w:rsid w:val="00A06D40"/>
    <w:rsid w:val="00A079AC"/>
    <w:rsid w:val="00A10100"/>
    <w:rsid w:val="00A109DD"/>
    <w:rsid w:val="00A10A5A"/>
    <w:rsid w:val="00A10ED7"/>
    <w:rsid w:val="00A10F9D"/>
    <w:rsid w:val="00A113E9"/>
    <w:rsid w:val="00A11B9B"/>
    <w:rsid w:val="00A11C2E"/>
    <w:rsid w:val="00A120A7"/>
    <w:rsid w:val="00A12742"/>
    <w:rsid w:val="00A12DE0"/>
    <w:rsid w:val="00A130EE"/>
    <w:rsid w:val="00A1311F"/>
    <w:rsid w:val="00A13134"/>
    <w:rsid w:val="00A137B5"/>
    <w:rsid w:val="00A1381D"/>
    <w:rsid w:val="00A139D8"/>
    <w:rsid w:val="00A13B4B"/>
    <w:rsid w:val="00A13BF6"/>
    <w:rsid w:val="00A14261"/>
    <w:rsid w:val="00A14947"/>
    <w:rsid w:val="00A1574A"/>
    <w:rsid w:val="00A15F2B"/>
    <w:rsid w:val="00A162EA"/>
    <w:rsid w:val="00A16592"/>
    <w:rsid w:val="00A16872"/>
    <w:rsid w:val="00A16FD8"/>
    <w:rsid w:val="00A17145"/>
    <w:rsid w:val="00A17148"/>
    <w:rsid w:val="00A17358"/>
    <w:rsid w:val="00A177B4"/>
    <w:rsid w:val="00A20D9D"/>
    <w:rsid w:val="00A20E59"/>
    <w:rsid w:val="00A215D6"/>
    <w:rsid w:val="00A215F0"/>
    <w:rsid w:val="00A21C34"/>
    <w:rsid w:val="00A2200C"/>
    <w:rsid w:val="00A22444"/>
    <w:rsid w:val="00A224E1"/>
    <w:rsid w:val="00A225E3"/>
    <w:rsid w:val="00A226A2"/>
    <w:rsid w:val="00A22755"/>
    <w:rsid w:val="00A22ABA"/>
    <w:rsid w:val="00A22B59"/>
    <w:rsid w:val="00A22B8B"/>
    <w:rsid w:val="00A22DBB"/>
    <w:rsid w:val="00A22FCC"/>
    <w:rsid w:val="00A233CF"/>
    <w:rsid w:val="00A23668"/>
    <w:rsid w:val="00A23C84"/>
    <w:rsid w:val="00A24155"/>
    <w:rsid w:val="00A24164"/>
    <w:rsid w:val="00A242B7"/>
    <w:rsid w:val="00A24860"/>
    <w:rsid w:val="00A24F10"/>
    <w:rsid w:val="00A2562E"/>
    <w:rsid w:val="00A25946"/>
    <w:rsid w:val="00A25AB5"/>
    <w:rsid w:val="00A2684C"/>
    <w:rsid w:val="00A2692A"/>
    <w:rsid w:val="00A26B10"/>
    <w:rsid w:val="00A26B84"/>
    <w:rsid w:val="00A27228"/>
    <w:rsid w:val="00A27973"/>
    <w:rsid w:val="00A27D4F"/>
    <w:rsid w:val="00A27D71"/>
    <w:rsid w:val="00A303F5"/>
    <w:rsid w:val="00A304D6"/>
    <w:rsid w:val="00A30551"/>
    <w:rsid w:val="00A3071C"/>
    <w:rsid w:val="00A30808"/>
    <w:rsid w:val="00A30849"/>
    <w:rsid w:val="00A308F8"/>
    <w:rsid w:val="00A30A00"/>
    <w:rsid w:val="00A30CE8"/>
    <w:rsid w:val="00A31543"/>
    <w:rsid w:val="00A31550"/>
    <w:rsid w:val="00A31629"/>
    <w:rsid w:val="00A31A99"/>
    <w:rsid w:val="00A32328"/>
    <w:rsid w:val="00A323A0"/>
    <w:rsid w:val="00A32A83"/>
    <w:rsid w:val="00A333B1"/>
    <w:rsid w:val="00A333E7"/>
    <w:rsid w:val="00A33834"/>
    <w:rsid w:val="00A34195"/>
    <w:rsid w:val="00A34726"/>
    <w:rsid w:val="00A34AB6"/>
    <w:rsid w:val="00A34C9F"/>
    <w:rsid w:val="00A350E2"/>
    <w:rsid w:val="00A35126"/>
    <w:rsid w:val="00A354BB"/>
    <w:rsid w:val="00A359ED"/>
    <w:rsid w:val="00A35FAC"/>
    <w:rsid w:val="00A35FD8"/>
    <w:rsid w:val="00A363ED"/>
    <w:rsid w:val="00A368DB"/>
    <w:rsid w:val="00A36A1B"/>
    <w:rsid w:val="00A36C26"/>
    <w:rsid w:val="00A373AD"/>
    <w:rsid w:val="00A37831"/>
    <w:rsid w:val="00A37C14"/>
    <w:rsid w:val="00A37DFA"/>
    <w:rsid w:val="00A40EF0"/>
    <w:rsid w:val="00A40F44"/>
    <w:rsid w:val="00A411E5"/>
    <w:rsid w:val="00A415BD"/>
    <w:rsid w:val="00A416FD"/>
    <w:rsid w:val="00A41C05"/>
    <w:rsid w:val="00A41DE2"/>
    <w:rsid w:val="00A420C8"/>
    <w:rsid w:val="00A423AA"/>
    <w:rsid w:val="00A42A64"/>
    <w:rsid w:val="00A42BFA"/>
    <w:rsid w:val="00A433BD"/>
    <w:rsid w:val="00A43500"/>
    <w:rsid w:val="00A43C00"/>
    <w:rsid w:val="00A43C01"/>
    <w:rsid w:val="00A44834"/>
    <w:rsid w:val="00A450A7"/>
    <w:rsid w:val="00A45151"/>
    <w:rsid w:val="00A4532B"/>
    <w:rsid w:val="00A45E48"/>
    <w:rsid w:val="00A45F3F"/>
    <w:rsid w:val="00A466FE"/>
    <w:rsid w:val="00A467ED"/>
    <w:rsid w:val="00A46B7E"/>
    <w:rsid w:val="00A46DFC"/>
    <w:rsid w:val="00A4758F"/>
    <w:rsid w:val="00A4774D"/>
    <w:rsid w:val="00A47B59"/>
    <w:rsid w:val="00A50057"/>
    <w:rsid w:val="00A50501"/>
    <w:rsid w:val="00A50752"/>
    <w:rsid w:val="00A50C43"/>
    <w:rsid w:val="00A50DAC"/>
    <w:rsid w:val="00A5120D"/>
    <w:rsid w:val="00A513A1"/>
    <w:rsid w:val="00A51523"/>
    <w:rsid w:val="00A51619"/>
    <w:rsid w:val="00A51674"/>
    <w:rsid w:val="00A51D01"/>
    <w:rsid w:val="00A522A8"/>
    <w:rsid w:val="00A52F6A"/>
    <w:rsid w:val="00A53BAB"/>
    <w:rsid w:val="00A53D87"/>
    <w:rsid w:val="00A53EC6"/>
    <w:rsid w:val="00A53FA8"/>
    <w:rsid w:val="00A540EB"/>
    <w:rsid w:val="00A54104"/>
    <w:rsid w:val="00A5464C"/>
    <w:rsid w:val="00A547BA"/>
    <w:rsid w:val="00A54AC8"/>
    <w:rsid w:val="00A54F4C"/>
    <w:rsid w:val="00A55A36"/>
    <w:rsid w:val="00A55C0F"/>
    <w:rsid w:val="00A56976"/>
    <w:rsid w:val="00A56A6B"/>
    <w:rsid w:val="00A57525"/>
    <w:rsid w:val="00A57B75"/>
    <w:rsid w:val="00A57C22"/>
    <w:rsid w:val="00A57C48"/>
    <w:rsid w:val="00A57D29"/>
    <w:rsid w:val="00A600FC"/>
    <w:rsid w:val="00A6021C"/>
    <w:rsid w:val="00A60427"/>
    <w:rsid w:val="00A61250"/>
    <w:rsid w:val="00A61711"/>
    <w:rsid w:val="00A61BC1"/>
    <w:rsid w:val="00A61C03"/>
    <w:rsid w:val="00A61C33"/>
    <w:rsid w:val="00A61E93"/>
    <w:rsid w:val="00A620FD"/>
    <w:rsid w:val="00A6228C"/>
    <w:rsid w:val="00A63763"/>
    <w:rsid w:val="00A637C5"/>
    <w:rsid w:val="00A6392B"/>
    <w:rsid w:val="00A6432D"/>
    <w:rsid w:val="00A643F9"/>
    <w:rsid w:val="00A644CE"/>
    <w:rsid w:val="00A6452D"/>
    <w:rsid w:val="00A646B0"/>
    <w:rsid w:val="00A6493D"/>
    <w:rsid w:val="00A64D21"/>
    <w:rsid w:val="00A6505A"/>
    <w:rsid w:val="00A65634"/>
    <w:rsid w:val="00A657D0"/>
    <w:rsid w:val="00A65A25"/>
    <w:rsid w:val="00A6629B"/>
    <w:rsid w:val="00A662CD"/>
    <w:rsid w:val="00A66B4F"/>
    <w:rsid w:val="00A66D1E"/>
    <w:rsid w:val="00A67083"/>
    <w:rsid w:val="00A67331"/>
    <w:rsid w:val="00A67401"/>
    <w:rsid w:val="00A6781F"/>
    <w:rsid w:val="00A67B51"/>
    <w:rsid w:val="00A67C9C"/>
    <w:rsid w:val="00A67E58"/>
    <w:rsid w:val="00A67E9C"/>
    <w:rsid w:val="00A70172"/>
    <w:rsid w:val="00A703E2"/>
    <w:rsid w:val="00A708B3"/>
    <w:rsid w:val="00A70E6D"/>
    <w:rsid w:val="00A711BD"/>
    <w:rsid w:val="00A7156F"/>
    <w:rsid w:val="00A716E6"/>
    <w:rsid w:val="00A7197D"/>
    <w:rsid w:val="00A71C35"/>
    <w:rsid w:val="00A71FE5"/>
    <w:rsid w:val="00A725A2"/>
    <w:rsid w:val="00A725DA"/>
    <w:rsid w:val="00A72E53"/>
    <w:rsid w:val="00A72F12"/>
    <w:rsid w:val="00A73375"/>
    <w:rsid w:val="00A7346F"/>
    <w:rsid w:val="00A7353C"/>
    <w:rsid w:val="00A738C9"/>
    <w:rsid w:val="00A73B61"/>
    <w:rsid w:val="00A73E39"/>
    <w:rsid w:val="00A73E40"/>
    <w:rsid w:val="00A73E53"/>
    <w:rsid w:val="00A74E21"/>
    <w:rsid w:val="00A75076"/>
    <w:rsid w:val="00A75078"/>
    <w:rsid w:val="00A7507B"/>
    <w:rsid w:val="00A75939"/>
    <w:rsid w:val="00A75AF2"/>
    <w:rsid w:val="00A760AF"/>
    <w:rsid w:val="00A76C22"/>
    <w:rsid w:val="00A77647"/>
    <w:rsid w:val="00A77A5E"/>
    <w:rsid w:val="00A77C5C"/>
    <w:rsid w:val="00A77CC1"/>
    <w:rsid w:val="00A8096C"/>
    <w:rsid w:val="00A8109C"/>
    <w:rsid w:val="00A8114F"/>
    <w:rsid w:val="00A816CA"/>
    <w:rsid w:val="00A817D9"/>
    <w:rsid w:val="00A81818"/>
    <w:rsid w:val="00A8185B"/>
    <w:rsid w:val="00A81B16"/>
    <w:rsid w:val="00A81B7E"/>
    <w:rsid w:val="00A81FCC"/>
    <w:rsid w:val="00A8272D"/>
    <w:rsid w:val="00A828C8"/>
    <w:rsid w:val="00A82994"/>
    <w:rsid w:val="00A82A61"/>
    <w:rsid w:val="00A82A7B"/>
    <w:rsid w:val="00A82B92"/>
    <w:rsid w:val="00A83084"/>
    <w:rsid w:val="00A8309D"/>
    <w:rsid w:val="00A8313A"/>
    <w:rsid w:val="00A835ED"/>
    <w:rsid w:val="00A83E8F"/>
    <w:rsid w:val="00A84238"/>
    <w:rsid w:val="00A84257"/>
    <w:rsid w:val="00A84304"/>
    <w:rsid w:val="00A8458D"/>
    <w:rsid w:val="00A84761"/>
    <w:rsid w:val="00A848A8"/>
    <w:rsid w:val="00A84A25"/>
    <w:rsid w:val="00A84ACC"/>
    <w:rsid w:val="00A855EF"/>
    <w:rsid w:val="00A85D8A"/>
    <w:rsid w:val="00A8608E"/>
    <w:rsid w:val="00A86708"/>
    <w:rsid w:val="00A86DBB"/>
    <w:rsid w:val="00A86F61"/>
    <w:rsid w:val="00A8713F"/>
    <w:rsid w:val="00A873C6"/>
    <w:rsid w:val="00A8764F"/>
    <w:rsid w:val="00A87A1C"/>
    <w:rsid w:val="00A87D99"/>
    <w:rsid w:val="00A87F45"/>
    <w:rsid w:val="00A9015F"/>
    <w:rsid w:val="00A902EB"/>
    <w:rsid w:val="00A903E5"/>
    <w:rsid w:val="00A905BD"/>
    <w:rsid w:val="00A90BA1"/>
    <w:rsid w:val="00A912AE"/>
    <w:rsid w:val="00A9138C"/>
    <w:rsid w:val="00A917E5"/>
    <w:rsid w:val="00A91A60"/>
    <w:rsid w:val="00A92484"/>
    <w:rsid w:val="00A92C1D"/>
    <w:rsid w:val="00A92C7A"/>
    <w:rsid w:val="00A9320E"/>
    <w:rsid w:val="00A93386"/>
    <w:rsid w:val="00A9399B"/>
    <w:rsid w:val="00A94870"/>
    <w:rsid w:val="00A94DC1"/>
    <w:rsid w:val="00A94E67"/>
    <w:rsid w:val="00A951D1"/>
    <w:rsid w:val="00A95367"/>
    <w:rsid w:val="00A9544A"/>
    <w:rsid w:val="00A9547B"/>
    <w:rsid w:val="00A9595E"/>
    <w:rsid w:val="00A95A1E"/>
    <w:rsid w:val="00A96296"/>
    <w:rsid w:val="00A96358"/>
    <w:rsid w:val="00A964AE"/>
    <w:rsid w:val="00A96586"/>
    <w:rsid w:val="00A969E8"/>
    <w:rsid w:val="00A96A09"/>
    <w:rsid w:val="00A96A58"/>
    <w:rsid w:val="00A96C73"/>
    <w:rsid w:val="00A970A5"/>
    <w:rsid w:val="00A97973"/>
    <w:rsid w:val="00A97A9A"/>
    <w:rsid w:val="00A97C76"/>
    <w:rsid w:val="00A97EEF"/>
    <w:rsid w:val="00A97FA1"/>
    <w:rsid w:val="00AA03AA"/>
    <w:rsid w:val="00AA0671"/>
    <w:rsid w:val="00AA06BB"/>
    <w:rsid w:val="00AA0A37"/>
    <w:rsid w:val="00AA0B25"/>
    <w:rsid w:val="00AA0BE7"/>
    <w:rsid w:val="00AA0DE6"/>
    <w:rsid w:val="00AA1756"/>
    <w:rsid w:val="00AA1C13"/>
    <w:rsid w:val="00AA1DA8"/>
    <w:rsid w:val="00AA1E2B"/>
    <w:rsid w:val="00AA21BC"/>
    <w:rsid w:val="00AA21C5"/>
    <w:rsid w:val="00AA226C"/>
    <w:rsid w:val="00AA2531"/>
    <w:rsid w:val="00AA2569"/>
    <w:rsid w:val="00AA259F"/>
    <w:rsid w:val="00AA25DF"/>
    <w:rsid w:val="00AA2848"/>
    <w:rsid w:val="00AA3E01"/>
    <w:rsid w:val="00AA43B2"/>
    <w:rsid w:val="00AA44D2"/>
    <w:rsid w:val="00AA4606"/>
    <w:rsid w:val="00AA4834"/>
    <w:rsid w:val="00AA4839"/>
    <w:rsid w:val="00AA4982"/>
    <w:rsid w:val="00AA4BF9"/>
    <w:rsid w:val="00AA532D"/>
    <w:rsid w:val="00AA5692"/>
    <w:rsid w:val="00AA581D"/>
    <w:rsid w:val="00AA5913"/>
    <w:rsid w:val="00AA5A14"/>
    <w:rsid w:val="00AA5A71"/>
    <w:rsid w:val="00AA5DDE"/>
    <w:rsid w:val="00AA5E34"/>
    <w:rsid w:val="00AA618B"/>
    <w:rsid w:val="00AA656A"/>
    <w:rsid w:val="00AA673A"/>
    <w:rsid w:val="00AA67E1"/>
    <w:rsid w:val="00AA6C2E"/>
    <w:rsid w:val="00AA7227"/>
    <w:rsid w:val="00AA791B"/>
    <w:rsid w:val="00AB01F7"/>
    <w:rsid w:val="00AB177A"/>
    <w:rsid w:val="00AB1955"/>
    <w:rsid w:val="00AB1AE8"/>
    <w:rsid w:val="00AB1E09"/>
    <w:rsid w:val="00AB1E52"/>
    <w:rsid w:val="00AB209F"/>
    <w:rsid w:val="00AB22E6"/>
    <w:rsid w:val="00AB30FC"/>
    <w:rsid w:val="00AB3182"/>
    <w:rsid w:val="00AB3B08"/>
    <w:rsid w:val="00AB3D4D"/>
    <w:rsid w:val="00AB3FDD"/>
    <w:rsid w:val="00AB400D"/>
    <w:rsid w:val="00AB42FF"/>
    <w:rsid w:val="00AB4487"/>
    <w:rsid w:val="00AB4613"/>
    <w:rsid w:val="00AB4725"/>
    <w:rsid w:val="00AB484B"/>
    <w:rsid w:val="00AB4AB6"/>
    <w:rsid w:val="00AB4E32"/>
    <w:rsid w:val="00AB5330"/>
    <w:rsid w:val="00AB5CB9"/>
    <w:rsid w:val="00AB5FDD"/>
    <w:rsid w:val="00AB60CB"/>
    <w:rsid w:val="00AB62AA"/>
    <w:rsid w:val="00AB677E"/>
    <w:rsid w:val="00AB6CC5"/>
    <w:rsid w:val="00AB6D5B"/>
    <w:rsid w:val="00AB734D"/>
    <w:rsid w:val="00AB7572"/>
    <w:rsid w:val="00AB7747"/>
    <w:rsid w:val="00AC0000"/>
    <w:rsid w:val="00AC0210"/>
    <w:rsid w:val="00AC03B9"/>
    <w:rsid w:val="00AC0480"/>
    <w:rsid w:val="00AC06E9"/>
    <w:rsid w:val="00AC0B0E"/>
    <w:rsid w:val="00AC14CE"/>
    <w:rsid w:val="00AC16CB"/>
    <w:rsid w:val="00AC18F8"/>
    <w:rsid w:val="00AC1D94"/>
    <w:rsid w:val="00AC1EBD"/>
    <w:rsid w:val="00AC2125"/>
    <w:rsid w:val="00AC2584"/>
    <w:rsid w:val="00AC2A56"/>
    <w:rsid w:val="00AC2D28"/>
    <w:rsid w:val="00AC324C"/>
    <w:rsid w:val="00AC3385"/>
    <w:rsid w:val="00AC33C6"/>
    <w:rsid w:val="00AC3444"/>
    <w:rsid w:val="00AC3683"/>
    <w:rsid w:val="00AC385D"/>
    <w:rsid w:val="00AC38E6"/>
    <w:rsid w:val="00AC41D8"/>
    <w:rsid w:val="00AC42C9"/>
    <w:rsid w:val="00AC4BE2"/>
    <w:rsid w:val="00AC55E0"/>
    <w:rsid w:val="00AC56E0"/>
    <w:rsid w:val="00AC5924"/>
    <w:rsid w:val="00AC5AC1"/>
    <w:rsid w:val="00AC6121"/>
    <w:rsid w:val="00AC6CD6"/>
    <w:rsid w:val="00AC712D"/>
    <w:rsid w:val="00AC74E3"/>
    <w:rsid w:val="00AC7730"/>
    <w:rsid w:val="00AC7878"/>
    <w:rsid w:val="00AD029B"/>
    <w:rsid w:val="00AD032C"/>
    <w:rsid w:val="00AD055E"/>
    <w:rsid w:val="00AD0560"/>
    <w:rsid w:val="00AD085A"/>
    <w:rsid w:val="00AD0B20"/>
    <w:rsid w:val="00AD0D63"/>
    <w:rsid w:val="00AD13A7"/>
    <w:rsid w:val="00AD1607"/>
    <w:rsid w:val="00AD1659"/>
    <w:rsid w:val="00AD19B7"/>
    <w:rsid w:val="00AD1B7B"/>
    <w:rsid w:val="00AD1C1A"/>
    <w:rsid w:val="00AD1C86"/>
    <w:rsid w:val="00AD1D7F"/>
    <w:rsid w:val="00AD24B6"/>
    <w:rsid w:val="00AD2B48"/>
    <w:rsid w:val="00AD2BEA"/>
    <w:rsid w:val="00AD2C73"/>
    <w:rsid w:val="00AD2F9F"/>
    <w:rsid w:val="00AD3220"/>
    <w:rsid w:val="00AD3342"/>
    <w:rsid w:val="00AD3667"/>
    <w:rsid w:val="00AD36C1"/>
    <w:rsid w:val="00AD36D6"/>
    <w:rsid w:val="00AD3D97"/>
    <w:rsid w:val="00AD47A7"/>
    <w:rsid w:val="00AD4804"/>
    <w:rsid w:val="00AD494C"/>
    <w:rsid w:val="00AD4A1B"/>
    <w:rsid w:val="00AD4BB7"/>
    <w:rsid w:val="00AD5249"/>
    <w:rsid w:val="00AD5347"/>
    <w:rsid w:val="00AD5673"/>
    <w:rsid w:val="00AD58D3"/>
    <w:rsid w:val="00AD599B"/>
    <w:rsid w:val="00AD5D94"/>
    <w:rsid w:val="00AD6C3A"/>
    <w:rsid w:val="00AD72E9"/>
    <w:rsid w:val="00AD7410"/>
    <w:rsid w:val="00AD773F"/>
    <w:rsid w:val="00AD7765"/>
    <w:rsid w:val="00AD7B1C"/>
    <w:rsid w:val="00AD7CAC"/>
    <w:rsid w:val="00AE015A"/>
    <w:rsid w:val="00AE0CBF"/>
    <w:rsid w:val="00AE0D32"/>
    <w:rsid w:val="00AE12D0"/>
    <w:rsid w:val="00AE1610"/>
    <w:rsid w:val="00AE180C"/>
    <w:rsid w:val="00AE19D2"/>
    <w:rsid w:val="00AE257A"/>
    <w:rsid w:val="00AE263C"/>
    <w:rsid w:val="00AE2825"/>
    <w:rsid w:val="00AE2937"/>
    <w:rsid w:val="00AE2B61"/>
    <w:rsid w:val="00AE326F"/>
    <w:rsid w:val="00AE3336"/>
    <w:rsid w:val="00AE33BD"/>
    <w:rsid w:val="00AE33DE"/>
    <w:rsid w:val="00AE3A8C"/>
    <w:rsid w:val="00AE3B0D"/>
    <w:rsid w:val="00AE3EB7"/>
    <w:rsid w:val="00AE45B6"/>
    <w:rsid w:val="00AE4704"/>
    <w:rsid w:val="00AE47A6"/>
    <w:rsid w:val="00AE4BB8"/>
    <w:rsid w:val="00AE4CCF"/>
    <w:rsid w:val="00AE4D4F"/>
    <w:rsid w:val="00AE4E4F"/>
    <w:rsid w:val="00AE4F7C"/>
    <w:rsid w:val="00AE51CC"/>
    <w:rsid w:val="00AE587F"/>
    <w:rsid w:val="00AE5A52"/>
    <w:rsid w:val="00AE5DD4"/>
    <w:rsid w:val="00AE673D"/>
    <w:rsid w:val="00AE693D"/>
    <w:rsid w:val="00AE6D16"/>
    <w:rsid w:val="00AE724C"/>
    <w:rsid w:val="00AE7A00"/>
    <w:rsid w:val="00AF0358"/>
    <w:rsid w:val="00AF05BD"/>
    <w:rsid w:val="00AF0CBF"/>
    <w:rsid w:val="00AF103F"/>
    <w:rsid w:val="00AF1214"/>
    <w:rsid w:val="00AF1272"/>
    <w:rsid w:val="00AF175C"/>
    <w:rsid w:val="00AF180F"/>
    <w:rsid w:val="00AF22D5"/>
    <w:rsid w:val="00AF23E2"/>
    <w:rsid w:val="00AF257F"/>
    <w:rsid w:val="00AF28BD"/>
    <w:rsid w:val="00AF2AD2"/>
    <w:rsid w:val="00AF3243"/>
    <w:rsid w:val="00AF33CF"/>
    <w:rsid w:val="00AF33E2"/>
    <w:rsid w:val="00AF33F6"/>
    <w:rsid w:val="00AF35A0"/>
    <w:rsid w:val="00AF3607"/>
    <w:rsid w:val="00AF373D"/>
    <w:rsid w:val="00AF3888"/>
    <w:rsid w:val="00AF4574"/>
    <w:rsid w:val="00AF47C9"/>
    <w:rsid w:val="00AF4968"/>
    <w:rsid w:val="00AF4D50"/>
    <w:rsid w:val="00AF4F70"/>
    <w:rsid w:val="00AF5976"/>
    <w:rsid w:val="00AF5979"/>
    <w:rsid w:val="00AF5A8B"/>
    <w:rsid w:val="00AF5B16"/>
    <w:rsid w:val="00AF5BFC"/>
    <w:rsid w:val="00AF5EB0"/>
    <w:rsid w:val="00AF6179"/>
    <w:rsid w:val="00AF63BB"/>
    <w:rsid w:val="00AF669B"/>
    <w:rsid w:val="00AF6727"/>
    <w:rsid w:val="00AF6772"/>
    <w:rsid w:val="00AF7C30"/>
    <w:rsid w:val="00AF7E49"/>
    <w:rsid w:val="00B003CC"/>
    <w:rsid w:val="00B00512"/>
    <w:rsid w:val="00B00DEE"/>
    <w:rsid w:val="00B01506"/>
    <w:rsid w:val="00B017AA"/>
    <w:rsid w:val="00B01C63"/>
    <w:rsid w:val="00B01F71"/>
    <w:rsid w:val="00B022BF"/>
    <w:rsid w:val="00B02877"/>
    <w:rsid w:val="00B02AF8"/>
    <w:rsid w:val="00B02C70"/>
    <w:rsid w:val="00B02F04"/>
    <w:rsid w:val="00B035A1"/>
    <w:rsid w:val="00B036DF"/>
    <w:rsid w:val="00B03B09"/>
    <w:rsid w:val="00B03E16"/>
    <w:rsid w:val="00B03E85"/>
    <w:rsid w:val="00B03FD9"/>
    <w:rsid w:val="00B04320"/>
    <w:rsid w:val="00B0441D"/>
    <w:rsid w:val="00B0460C"/>
    <w:rsid w:val="00B046E8"/>
    <w:rsid w:val="00B04B13"/>
    <w:rsid w:val="00B04D7B"/>
    <w:rsid w:val="00B04FF4"/>
    <w:rsid w:val="00B051E2"/>
    <w:rsid w:val="00B0534D"/>
    <w:rsid w:val="00B05391"/>
    <w:rsid w:val="00B059CA"/>
    <w:rsid w:val="00B05CF8"/>
    <w:rsid w:val="00B062A7"/>
    <w:rsid w:val="00B062F0"/>
    <w:rsid w:val="00B0639B"/>
    <w:rsid w:val="00B064B6"/>
    <w:rsid w:val="00B064F3"/>
    <w:rsid w:val="00B06520"/>
    <w:rsid w:val="00B0687A"/>
    <w:rsid w:val="00B06A8D"/>
    <w:rsid w:val="00B079B6"/>
    <w:rsid w:val="00B07DD6"/>
    <w:rsid w:val="00B100DA"/>
    <w:rsid w:val="00B10986"/>
    <w:rsid w:val="00B10ACD"/>
    <w:rsid w:val="00B10C17"/>
    <w:rsid w:val="00B11023"/>
    <w:rsid w:val="00B110CA"/>
    <w:rsid w:val="00B11182"/>
    <w:rsid w:val="00B113BA"/>
    <w:rsid w:val="00B11620"/>
    <w:rsid w:val="00B118EE"/>
    <w:rsid w:val="00B11AAD"/>
    <w:rsid w:val="00B11BBF"/>
    <w:rsid w:val="00B12935"/>
    <w:rsid w:val="00B1295A"/>
    <w:rsid w:val="00B12978"/>
    <w:rsid w:val="00B12E86"/>
    <w:rsid w:val="00B12E9A"/>
    <w:rsid w:val="00B135A1"/>
    <w:rsid w:val="00B13D0F"/>
    <w:rsid w:val="00B13D31"/>
    <w:rsid w:val="00B1479A"/>
    <w:rsid w:val="00B14AAB"/>
    <w:rsid w:val="00B14CA5"/>
    <w:rsid w:val="00B14E8C"/>
    <w:rsid w:val="00B155A3"/>
    <w:rsid w:val="00B1592A"/>
    <w:rsid w:val="00B15E96"/>
    <w:rsid w:val="00B15EB9"/>
    <w:rsid w:val="00B16079"/>
    <w:rsid w:val="00B164C8"/>
    <w:rsid w:val="00B1676E"/>
    <w:rsid w:val="00B16E68"/>
    <w:rsid w:val="00B16F8C"/>
    <w:rsid w:val="00B1701B"/>
    <w:rsid w:val="00B17379"/>
    <w:rsid w:val="00B179A9"/>
    <w:rsid w:val="00B17A0F"/>
    <w:rsid w:val="00B20222"/>
    <w:rsid w:val="00B20A45"/>
    <w:rsid w:val="00B20E3B"/>
    <w:rsid w:val="00B2105B"/>
    <w:rsid w:val="00B211B3"/>
    <w:rsid w:val="00B219CA"/>
    <w:rsid w:val="00B21B66"/>
    <w:rsid w:val="00B21BB0"/>
    <w:rsid w:val="00B21FC3"/>
    <w:rsid w:val="00B2201C"/>
    <w:rsid w:val="00B2260B"/>
    <w:rsid w:val="00B226A9"/>
    <w:rsid w:val="00B22BDF"/>
    <w:rsid w:val="00B22C5C"/>
    <w:rsid w:val="00B22D53"/>
    <w:rsid w:val="00B22E85"/>
    <w:rsid w:val="00B2345B"/>
    <w:rsid w:val="00B23D53"/>
    <w:rsid w:val="00B24A9F"/>
    <w:rsid w:val="00B24C71"/>
    <w:rsid w:val="00B24C8B"/>
    <w:rsid w:val="00B24E9D"/>
    <w:rsid w:val="00B24F30"/>
    <w:rsid w:val="00B25034"/>
    <w:rsid w:val="00B253FC"/>
    <w:rsid w:val="00B253FD"/>
    <w:rsid w:val="00B255D8"/>
    <w:rsid w:val="00B256F4"/>
    <w:rsid w:val="00B258AC"/>
    <w:rsid w:val="00B258DF"/>
    <w:rsid w:val="00B260FE"/>
    <w:rsid w:val="00B2670A"/>
    <w:rsid w:val="00B26875"/>
    <w:rsid w:val="00B269C9"/>
    <w:rsid w:val="00B270D4"/>
    <w:rsid w:val="00B2724A"/>
    <w:rsid w:val="00B27447"/>
    <w:rsid w:val="00B275C6"/>
    <w:rsid w:val="00B277C3"/>
    <w:rsid w:val="00B27D06"/>
    <w:rsid w:val="00B3045D"/>
    <w:rsid w:val="00B30466"/>
    <w:rsid w:val="00B30598"/>
    <w:rsid w:val="00B30665"/>
    <w:rsid w:val="00B30CF2"/>
    <w:rsid w:val="00B311CC"/>
    <w:rsid w:val="00B3144D"/>
    <w:rsid w:val="00B31A14"/>
    <w:rsid w:val="00B31ABF"/>
    <w:rsid w:val="00B31B0E"/>
    <w:rsid w:val="00B31B6F"/>
    <w:rsid w:val="00B31EC9"/>
    <w:rsid w:val="00B32535"/>
    <w:rsid w:val="00B32A46"/>
    <w:rsid w:val="00B32EB7"/>
    <w:rsid w:val="00B32F9E"/>
    <w:rsid w:val="00B32FEC"/>
    <w:rsid w:val="00B33130"/>
    <w:rsid w:val="00B333BF"/>
    <w:rsid w:val="00B3369E"/>
    <w:rsid w:val="00B3390B"/>
    <w:rsid w:val="00B339BF"/>
    <w:rsid w:val="00B339DB"/>
    <w:rsid w:val="00B33AD0"/>
    <w:rsid w:val="00B33B60"/>
    <w:rsid w:val="00B33BE3"/>
    <w:rsid w:val="00B33CD6"/>
    <w:rsid w:val="00B33E41"/>
    <w:rsid w:val="00B34338"/>
    <w:rsid w:val="00B34520"/>
    <w:rsid w:val="00B34C65"/>
    <w:rsid w:val="00B34FA8"/>
    <w:rsid w:val="00B35802"/>
    <w:rsid w:val="00B3586E"/>
    <w:rsid w:val="00B35BDE"/>
    <w:rsid w:val="00B35BF9"/>
    <w:rsid w:val="00B36092"/>
    <w:rsid w:val="00B361D0"/>
    <w:rsid w:val="00B361DE"/>
    <w:rsid w:val="00B363A8"/>
    <w:rsid w:val="00B36642"/>
    <w:rsid w:val="00B36C72"/>
    <w:rsid w:val="00B36EE3"/>
    <w:rsid w:val="00B36FE7"/>
    <w:rsid w:val="00B37168"/>
    <w:rsid w:val="00B4066D"/>
    <w:rsid w:val="00B40B96"/>
    <w:rsid w:val="00B40BE8"/>
    <w:rsid w:val="00B4159A"/>
    <w:rsid w:val="00B41640"/>
    <w:rsid w:val="00B41A4D"/>
    <w:rsid w:val="00B41AC4"/>
    <w:rsid w:val="00B42551"/>
    <w:rsid w:val="00B42651"/>
    <w:rsid w:val="00B42C8D"/>
    <w:rsid w:val="00B42F64"/>
    <w:rsid w:val="00B4324C"/>
    <w:rsid w:val="00B43322"/>
    <w:rsid w:val="00B43CC4"/>
    <w:rsid w:val="00B43F71"/>
    <w:rsid w:val="00B43FA5"/>
    <w:rsid w:val="00B44C5D"/>
    <w:rsid w:val="00B44E93"/>
    <w:rsid w:val="00B455C5"/>
    <w:rsid w:val="00B456A0"/>
    <w:rsid w:val="00B457FA"/>
    <w:rsid w:val="00B45860"/>
    <w:rsid w:val="00B4634D"/>
    <w:rsid w:val="00B46548"/>
    <w:rsid w:val="00B4680C"/>
    <w:rsid w:val="00B46B8C"/>
    <w:rsid w:val="00B47069"/>
    <w:rsid w:val="00B47570"/>
    <w:rsid w:val="00B4798C"/>
    <w:rsid w:val="00B50017"/>
    <w:rsid w:val="00B50244"/>
    <w:rsid w:val="00B5027A"/>
    <w:rsid w:val="00B50311"/>
    <w:rsid w:val="00B503A2"/>
    <w:rsid w:val="00B505E7"/>
    <w:rsid w:val="00B50CE5"/>
    <w:rsid w:val="00B51067"/>
    <w:rsid w:val="00B51B59"/>
    <w:rsid w:val="00B521B4"/>
    <w:rsid w:val="00B52392"/>
    <w:rsid w:val="00B52482"/>
    <w:rsid w:val="00B52A45"/>
    <w:rsid w:val="00B52CD4"/>
    <w:rsid w:val="00B52DC9"/>
    <w:rsid w:val="00B52E74"/>
    <w:rsid w:val="00B53383"/>
    <w:rsid w:val="00B53776"/>
    <w:rsid w:val="00B53B5D"/>
    <w:rsid w:val="00B53CC6"/>
    <w:rsid w:val="00B53DDB"/>
    <w:rsid w:val="00B5464A"/>
    <w:rsid w:val="00B547E5"/>
    <w:rsid w:val="00B54C97"/>
    <w:rsid w:val="00B54D13"/>
    <w:rsid w:val="00B54D45"/>
    <w:rsid w:val="00B552A0"/>
    <w:rsid w:val="00B55308"/>
    <w:rsid w:val="00B5565E"/>
    <w:rsid w:val="00B56009"/>
    <w:rsid w:val="00B56789"/>
    <w:rsid w:val="00B567E2"/>
    <w:rsid w:val="00B56B00"/>
    <w:rsid w:val="00B56D37"/>
    <w:rsid w:val="00B572BA"/>
    <w:rsid w:val="00B5756E"/>
    <w:rsid w:val="00B601F2"/>
    <w:rsid w:val="00B6032C"/>
    <w:rsid w:val="00B6038F"/>
    <w:rsid w:val="00B60455"/>
    <w:rsid w:val="00B6055E"/>
    <w:rsid w:val="00B60D47"/>
    <w:rsid w:val="00B60EEF"/>
    <w:rsid w:val="00B61B52"/>
    <w:rsid w:val="00B620DB"/>
    <w:rsid w:val="00B621D4"/>
    <w:rsid w:val="00B6317D"/>
    <w:rsid w:val="00B63329"/>
    <w:rsid w:val="00B6360A"/>
    <w:rsid w:val="00B63ABD"/>
    <w:rsid w:val="00B63D62"/>
    <w:rsid w:val="00B6463D"/>
    <w:rsid w:val="00B64A28"/>
    <w:rsid w:val="00B65003"/>
    <w:rsid w:val="00B6513E"/>
    <w:rsid w:val="00B6527C"/>
    <w:rsid w:val="00B6561D"/>
    <w:rsid w:val="00B659DF"/>
    <w:rsid w:val="00B65D3A"/>
    <w:rsid w:val="00B65E74"/>
    <w:rsid w:val="00B65F15"/>
    <w:rsid w:val="00B66135"/>
    <w:rsid w:val="00B66205"/>
    <w:rsid w:val="00B66C35"/>
    <w:rsid w:val="00B66F54"/>
    <w:rsid w:val="00B67246"/>
    <w:rsid w:val="00B6772C"/>
    <w:rsid w:val="00B67C9C"/>
    <w:rsid w:val="00B70898"/>
    <w:rsid w:val="00B70903"/>
    <w:rsid w:val="00B70BAB"/>
    <w:rsid w:val="00B70CDB"/>
    <w:rsid w:val="00B70D83"/>
    <w:rsid w:val="00B711BB"/>
    <w:rsid w:val="00B7154D"/>
    <w:rsid w:val="00B7160D"/>
    <w:rsid w:val="00B7166C"/>
    <w:rsid w:val="00B71788"/>
    <w:rsid w:val="00B72568"/>
    <w:rsid w:val="00B72A11"/>
    <w:rsid w:val="00B7360B"/>
    <w:rsid w:val="00B73A84"/>
    <w:rsid w:val="00B73B87"/>
    <w:rsid w:val="00B73D04"/>
    <w:rsid w:val="00B741BB"/>
    <w:rsid w:val="00B74489"/>
    <w:rsid w:val="00B74730"/>
    <w:rsid w:val="00B74731"/>
    <w:rsid w:val="00B7477B"/>
    <w:rsid w:val="00B75139"/>
    <w:rsid w:val="00B75251"/>
    <w:rsid w:val="00B756CF"/>
    <w:rsid w:val="00B75AFB"/>
    <w:rsid w:val="00B75DE1"/>
    <w:rsid w:val="00B76784"/>
    <w:rsid w:val="00B76EA7"/>
    <w:rsid w:val="00B7723F"/>
    <w:rsid w:val="00B77514"/>
    <w:rsid w:val="00B77984"/>
    <w:rsid w:val="00B77A0A"/>
    <w:rsid w:val="00B77D38"/>
    <w:rsid w:val="00B77E65"/>
    <w:rsid w:val="00B8028B"/>
    <w:rsid w:val="00B80331"/>
    <w:rsid w:val="00B803E8"/>
    <w:rsid w:val="00B80534"/>
    <w:rsid w:val="00B80898"/>
    <w:rsid w:val="00B808A1"/>
    <w:rsid w:val="00B80B4D"/>
    <w:rsid w:val="00B80FC7"/>
    <w:rsid w:val="00B8122D"/>
    <w:rsid w:val="00B81261"/>
    <w:rsid w:val="00B81E56"/>
    <w:rsid w:val="00B82085"/>
    <w:rsid w:val="00B8274F"/>
    <w:rsid w:val="00B8286F"/>
    <w:rsid w:val="00B828A0"/>
    <w:rsid w:val="00B83313"/>
    <w:rsid w:val="00B83785"/>
    <w:rsid w:val="00B83A75"/>
    <w:rsid w:val="00B8433C"/>
    <w:rsid w:val="00B8448D"/>
    <w:rsid w:val="00B84B16"/>
    <w:rsid w:val="00B84BC0"/>
    <w:rsid w:val="00B84BFB"/>
    <w:rsid w:val="00B84DB7"/>
    <w:rsid w:val="00B852DA"/>
    <w:rsid w:val="00B85328"/>
    <w:rsid w:val="00B8571E"/>
    <w:rsid w:val="00B85979"/>
    <w:rsid w:val="00B85DEF"/>
    <w:rsid w:val="00B863E8"/>
    <w:rsid w:val="00B868E6"/>
    <w:rsid w:val="00B869E0"/>
    <w:rsid w:val="00B86DCC"/>
    <w:rsid w:val="00B87363"/>
    <w:rsid w:val="00B87491"/>
    <w:rsid w:val="00B874E9"/>
    <w:rsid w:val="00B87687"/>
    <w:rsid w:val="00B8777B"/>
    <w:rsid w:val="00B87851"/>
    <w:rsid w:val="00B878CB"/>
    <w:rsid w:val="00B87E3D"/>
    <w:rsid w:val="00B87F50"/>
    <w:rsid w:val="00B9005E"/>
    <w:rsid w:val="00B9056C"/>
    <w:rsid w:val="00B905F8"/>
    <w:rsid w:val="00B90E61"/>
    <w:rsid w:val="00B91368"/>
    <w:rsid w:val="00B91545"/>
    <w:rsid w:val="00B91DA5"/>
    <w:rsid w:val="00B91F7D"/>
    <w:rsid w:val="00B91FF7"/>
    <w:rsid w:val="00B9207A"/>
    <w:rsid w:val="00B924AD"/>
    <w:rsid w:val="00B9293A"/>
    <w:rsid w:val="00B92A9A"/>
    <w:rsid w:val="00B92BC5"/>
    <w:rsid w:val="00B92C6F"/>
    <w:rsid w:val="00B9306F"/>
    <w:rsid w:val="00B93675"/>
    <w:rsid w:val="00B937F6"/>
    <w:rsid w:val="00B93BCA"/>
    <w:rsid w:val="00B93E5A"/>
    <w:rsid w:val="00B94131"/>
    <w:rsid w:val="00B94153"/>
    <w:rsid w:val="00B942B2"/>
    <w:rsid w:val="00B94813"/>
    <w:rsid w:val="00B948E8"/>
    <w:rsid w:val="00B949D3"/>
    <w:rsid w:val="00B94B87"/>
    <w:rsid w:val="00B94CE7"/>
    <w:rsid w:val="00B94EAE"/>
    <w:rsid w:val="00B95D27"/>
    <w:rsid w:val="00B95E2E"/>
    <w:rsid w:val="00B968C6"/>
    <w:rsid w:val="00B96A67"/>
    <w:rsid w:val="00B96AE8"/>
    <w:rsid w:val="00B96F64"/>
    <w:rsid w:val="00B97F34"/>
    <w:rsid w:val="00BA01C5"/>
    <w:rsid w:val="00BA05FB"/>
    <w:rsid w:val="00BA06FF"/>
    <w:rsid w:val="00BA0B5A"/>
    <w:rsid w:val="00BA1288"/>
    <w:rsid w:val="00BA136B"/>
    <w:rsid w:val="00BA1990"/>
    <w:rsid w:val="00BA1DB8"/>
    <w:rsid w:val="00BA1E24"/>
    <w:rsid w:val="00BA2361"/>
    <w:rsid w:val="00BA23E7"/>
    <w:rsid w:val="00BA25CD"/>
    <w:rsid w:val="00BA27F5"/>
    <w:rsid w:val="00BA2925"/>
    <w:rsid w:val="00BA2975"/>
    <w:rsid w:val="00BA29E9"/>
    <w:rsid w:val="00BA2AF9"/>
    <w:rsid w:val="00BA340C"/>
    <w:rsid w:val="00BA3649"/>
    <w:rsid w:val="00BA369D"/>
    <w:rsid w:val="00BA3705"/>
    <w:rsid w:val="00BA370A"/>
    <w:rsid w:val="00BA3B3E"/>
    <w:rsid w:val="00BA4ADE"/>
    <w:rsid w:val="00BA4F5E"/>
    <w:rsid w:val="00BA5872"/>
    <w:rsid w:val="00BA58EB"/>
    <w:rsid w:val="00BA603C"/>
    <w:rsid w:val="00BA615A"/>
    <w:rsid w:val="00BA648A"/>
    <w:rsid w:val="00BA6958"/>
    <w:rsid w:val="00BA6C44"/>
    <w:rsid w:val="00BA7142"/>
    <w:rsid w:val="00BA7423"/>
    <w:rsid w:val="00BA7528"/>
    <w:rsid w:val="00BA7FFD"/>
    <w:rsid w:val="00BB003C"/>
    <w:rsid w:val="00BB025C"/>
    <w:rsid w:val="00BB05A1"/>
    <w:rsid w:val="00BB0CD8"/>
    <w:rsid w:val="00BB0DEA"/>
    <w:rsid w:val="00BB0E4A"/>
    <w:rsid w:val="00BB106F"/>
    <w:rsid w:val="00BB1969"/>
    <w:rsid w:val="00BB1A22"/>
    <w:rsid w:val="00BB1C7E"/>
    <w:rsid w:val="00BB2150"/>
    <w:rsid w:val="00BB218F"/>
    <w:rsid w:val="00BB237C"/>
    <w:rsid w:val="00BB25FE"/>
    <w:rsid w:val="00BB29E4"/>
    <w:rsid w:val="00BB2A32"/>
    <w:rsid w:val="00BB324C"/>
    <w:rsid w:val="00BB39FB"/>
    <w:rsid w:val="00BB3A29"/>
    <w:rsid w:val="00BB3B92"/>
    <w:rsid w:val="00BB41A3"/>
    <w:rsid w:val="00BB441F"/>
    <w:rsid w:val="00BB4883"/>
    <w:rsid w:val="00BB489E"/>
    <w:rsid w:val="00BB4BA8"/>
    <w:rsid w:val="00BB4C05"/>
    <w:rsid w:val="00BB4C06"/>
    <w:rsid w:val="00BB4CB6"/>
    <w:rsid w:val="00BB4DCF"/>
    <w:rsid w:val="00BB4F2D"/>
    <w:rsid w:val="00BB536A"/>
    <w:rsid w:val="00BB54FD"/>
    <w:rsid w:val="00BB5750"/>
    <w:rsid w:val="00BB5832"/>
    <w:rsid w:val="00BB5C77"/>
    <w:rsid w:val="00BB5D56"/>
    <w:rsid w:val="00BB5D92"/>
    <w:rsid w:val="00BB60FE"/>
    <w:rsid w:val="00BB6149"/>
    <w:rsid w:val="00BB64A4"/>
    <w:rsid w:val="00BB651F"/>
    <w:rsid w:val="00BB6F5C"/>
    <w:rsid w:val="00BB7166"/>
    <w:rsid w:val="00BB7A58"/>
    <w:rsid w:val="00BB7C81"/>
    <w:rsid w:val="00BB7F31"/>
    <w:rsid w:val="00BC0222"/>
    <w:rsid w:val="00BC0398"/>
    <w:rsid w:val="00BC0966"/>
    <w:rsid w:val="00BC09CA"/>
    <w:rsid w:val="00BC0D6D"/>
    <w:rsid w:val="00BC0ED6"/>
    <w:rsid w:val="00BC11B3"/>
    <w:rsid w:val="00BC120F"/>
    <w:rsid w:val="00BC14D7"/>
    <w:rsid w:val="00BC14F5"/>
    <w:rsid w:val="00BC1974"/>
    <w:rsid w:val="00BC1DE9"/>
    <w:rsid w:val="00BC200C"/>
    <w:rsid w:val="00BC305C"/>
    <w:rsid w:val="00BC32DC"/>
    <w:rsid w:val="00BC3390"/>
    <w:rsid w:val="00BC35B6"/>
    <w:rsid w:val="00BC3BC1"/>
    <w:rsid w:val="00BC3C6B"/>
    <w:rsid w:val="00BC3D44"/>
    <w:rsid w:val="00BC3F92"/>
    <w:rsid w:val="00BC404B"/>
    <w:rsid w:val="00BC476B"/>
    <w:rsid w:val="00BC4987"/>
    <w:rsid w:val="00BC4A6A"/>
    <w:rsid w:val="00BC4FF2"/>
    <w:rsid w:val="00BC5229"/>
    <w:rsid w:val="00BC57C4"/>
    <w:rsid w:val="00BC5A8E"/>
    <w:rsid w:val="00BC5C0C"/>
    <w:rsid w:val="00BC5C8B"/>
    <w:rsid w:val="00BC5DCE"/>
    <w:rsid w:val="00BC66FE"/>
    <w:rsid w:val="00BC6711"/>
    <w:rsid w:val="00BC6BBE"/>
    <w:rsid w:val="00BC6CF3"/>
    <w:rsid w:val="00BC6EB4"/>
    <w:rsid w:val="00BC6FEE"/>
    <w:rsid w:val="00BC7196"/>
    <w:rsid w:val="00BC7A44"/>
    <w:rsid w:val="00BD0229"/>
    <w:rsid w:val="00BD03F5"/>
    <w:rsid w:val="00BD071A"/>
    <w:rsid w:val="00BD0CA1"/>
    <w:rsid w:val="00BD0F86"/>
    <w:rsid w:val="00BD157D"/>
    <w:rsid w:val="00BD18C3"/>
    <w:rsid w:val="00BD1AC8"/>
    <w:rsid w:val="00BD1B51"/>
    <w:rsid w:val="00BD1BF3"/>
    <w:rsid w:val="00BD22E6"/>
    <w:rsid w:val="00BD23B6"/>
    <w:rsid w:val="00BD24FF"/>
    <w:rsid w:val="00BD2AAD"/>
    <w:rsid w:val="00BD2BF6"/>
    <w:rsid w:val="00BD2EF3"/>
    <w:rsid w:val="00BD2F4D"/>
    <w:rsid w:val="00BD31E6"/>
    <w:rsid w:val="00BD341C"/>
    <w:rsid w:val="00BD34B8"/>
    <w:rsid w:val="00BD378D"/>
    <w:rsid w:val="00BD3A3D"/>
    <w:rsid w:val="00BD3BED"/>
    <w:rsid w:val="00BD3C7F"/>
    <w:rsid w:val="00BD3F7D"/>
    <w:rsid w:val="00BD40BF"/>
    <w:rsid w:val="00BD40C4"/>
    <w:rsid w:val="00BD44F2"/>
    <w:rsid w:val="00BD4596"/>
    <w:rsid w:val="00BD4728"/>
    <w:rsid w:val="00BD48F1"/>
    <w:rsid w:val="00BD4C88"/>
    <w:rsid w:val="00BD4D99"/>
    <w:rsid w:val="00BD5018"/>
    <w:rsid w:val="00BD5092"/>
    <w:rsid w:val="00BD5106"/>
    <w:rsid w:val="00BD5D4B"/>
    <w:rsid w:val="00BD5E62"/>
    <w:rsid w:val="00BD60A2"/>
    <w:rsid w:val="00BD6A48"/>
    <w:rsid w:val="00BD6BBB"/>
    <w:rsid w:val="00BD6DC1"/>
    <w:rsid w:val="00BD7010"/>
    <w:rsid w:val="00BD7075"/>
    <w:rsid w:val="00BD74C3"/>
    <w:rsid w:val="00BD77BE"/>
    <w:rsid w:val="00BD7813"/>
    <w:rsid w:val="00BD7A22"/>
    <w:rsid w:val="00BD7CF2"/>
    <w:rsid w:val="00BE052F"/>
    <w:rsid w:val="00BE0C8D"/>
    <w:rsid w:val="00BE1165"/>
    <w:rsid w:val="00BE1405"/>
    <w:rsid w:val="00BE15D7"/>
    <w:rsid w:val="00BE306B"/>
    <w:rsid w:val="00BE312A"/>
    <w:rsid w:val="00BE312D"/>
    <w:rsid w:val="00BE34F2"/>
    <w:rsid w:val="00BE3730"/>
    <w:rsid w:val="00BE3790"/>
    <w:rsid w:val="00BE38FD"/>
    <w:rsid w:val="00BE4109"/>
    <w:rsid w:val="00BE4BE5"/>
    <w:rsid w:val="00BE4ECC"/>
    <w:rsid w:val="00BE4F6A"/>
    <w:rsid w:val="00BE63CC"/>
    <w:rsid w:val="00BE6452"/>
    <w:rsid w:val="00BE68C9"/>
    <w:rsid w:val="00BE6E2E"/>
    <w:rsid w:val="00BE72BB"/>
    <w:rsid w:val="00BE7A63"/>
    <w:rsid w:val="00BE7B22"/>
    <w:rsid w:val="00BF0053"/>
    <w:rsid w:val="00BF08A7"/>
    <w:rsid w:val="00BF09F4"/>
    <w:rsid w:val="00BF0A0D"/>
    <w:rsid w:val="00BF0A94"/>
    <w:rsid w:val="00BF0A9A"/>
    <w:rsid w:val="00BF0E33"/>
    <w:rsid w:val="00BF1153"/>
    <w:rsid w:val="00BF12D7"/>
    <w:rsid w:val="00BF1B65"/>
    <w:rsid w:val="00BF1BCC"/>
    <w:rsid w:val="00BF1C20"/>
    <w:rsid w:val="00BF1F6A"/>
    <w:rsid w:val="00BF219A"/>
    <w:rsid w:val="00BF22F0"/>
    <w:rsid w:val="00BF28CF"/>
    <w:rsid w:val="00BF2C11"/>
    <w:rsid w:val="00BF2C21"/>
    <w:rsid w:val="00BF2E63"/>
    <w:rsid w:val="00BF2F6D"/>
    <w:rsid w:val="00BF2FA6"/>
    <w:rsid w:val="00BF3102"/>
    <w:rsid w:val="00BF321A"/>
    <w:rsid w:val="00BF3252"/>
    <w:rsid w:val="00BF3361"/>
    <w:rsid w:val="00BF3A42"/>
    <w:rsid w:val="00BF3BF5"/>
    <w:rsid w:val="00BF3C5A"/>
    <w:rsid w:val="00BF423F"/>
    <w:rsid w:val="00BF43CB"/>
    <w:rsid w:val="00BF4406"/>
    <w:rsid w:val="00BF475C"/>
    <w:rsid w:val="00BF4AF9"/>
    <w:rsid w:val="00BF4F73"/>
    <w:rsid w:val="00BF51FF"/>
    <w:rsid w:val="00BF568B"/>
    <w:rsid w:val="00BF583C"/>
    <w:rsid w:val="00BF5BDC"/>
    <w:rsid w:val="00BF6056"/>
    <w:rsid w:val="00BF61E1"/>
    <w:rsid w:val="00BF635E"/>
    <w:rsid w:val="00BF63E7"/>
    <w:rsid w:val="00BF64F7"/>
    <w:rsid w:val="00BF6948"/>
    <w:rsid w:val="00BF6B44"/>
    <w:rsid w:val="00BF6DF9"/>
    <w:rsid w:val="00BF75C0"/>
    <w:rsid w:val="00BF7699"/>
    <w:rsid w:val="00BF7719"/>
    <w:rsid w:val="00BF772C"/>
    <w:rsid w:val="00BF7977"/>
    <w:rsid w:val="00BF7991"/>
    <w:rsid w:val="00BF7ABD"/>
    <w:rsid w:val="00C00042"/>
    <w:rsid w:val="00C003AC"/>
    <w:rsid w:val="00C005BF"/>
    <w:rsid w:val="00C007AE"/>
    <w:rsid w:val="00C0096F"/>
    <w:rsid w:val="00C01C42"/>
    <w:rsid w:val="00C02C3F"/>
    <w:rsid w:val="00C02CDD"/>
    <w:rsid w:val="00C03057"/>
    <w:rsid w:val="00C0317F"/>
    <w:rsid w:val="00C0346D"/>
    <w:rsid w:val="00C03632"/>
    <w:rsid w:val="00C046B9"/>
    <w:rsid w:val="00C04829"/>
    <w:rsid w:val="00C04B5A"/>
    <w:rsid w:val="00C04C1B"/>
    <w:rsid w:val="00C04C46"/>
    <w:rsid w:val="00C0508D"/>
    <w:rsid w:val="00C05569"/>
    <w:rsid w:val="00C05C38"/>
    <w:rsid w:val="00C05D19"/>
    <w:rsid w:val="00C0614E"/>
    <w:rsid w:val="00C064B6"/>
    <w:rsid w:val="00C06555"/>
    <w:rsid w:val="00C065D4"/>
    <w:rsid w:val="00C0666E"/>
    <w:rsid w:val="00C069BD"/>
    <w:rsid w:val="00C06EFB"/>
    <w:rsid w:val="00C06F7E"/>
    <w:rsid w:val="00C06FF1"/>
    <w:rsid w:val="00C0715D"/>
    <w:rsid w:val="00C07466"/>
    <w:rsid w:val="00C075EA"/>
    <w:rsid w:val="00C07916"/>
    <w:rsid w:val="00C07EA8"/>
    <w:rsid w:val="00C100C6"/>
    <w:rsid w:val="00C10147"/>
    <w:rsid w:val="00C1023C"/>
    <w:rsid w:val="00C10578"/>
    <w:rsid w:val="00C10BF0"/>
    <w:rsid w:val="00C10C3A"/>
    <w:rsid w:val="00C10D62"/>
    <w:rsid w:val="00C10F62"/>
    <w:rsid w:val="00C1119C"/>
    <w:rsid w:val="00C11310"/>
    <w:rsid w:val="00C11660"/>
    <w:rsid w:val="00C116BB"/>
    <w:rsid w:val="00C117EB"/>
    <w:rsid w:val="00C11E32"/>
    <w:rsid w:val="00C12499"/>
    <w:rsid w:val="00C12667"/>
    <w:rsid w:val="00C1331D"/>
    <w:rsid w:val="00C1337B"/>
    <w:rsid w:val="00C135BC"/>
    <w:rsid w:val="00C13726"/>
    <w:rsid w:val="00C13A26"/>
    <w:rsid w:val="00C13F1E"/>
    <w:rsid w:val="00C14002"/>
    <w:rsid w:val="00C14183"/>
    <w:rsid w:val="00C14869"/>
    <w:rsid w:val="00C14FFE"/>
    <w:rsid w:val="00C154B9"/>
    <w:rsid w:val="00C1565A"/>
    <w:rsid w:val="00C15699"/>
    <w:rsid w:val="00C15A4C"/>
    <w:rsid w:val="00C15BEE"/>
    <w:rsid w:val="00C15C95"/>
    <w:rsid w:val="00C15FE0"/>
    <w:rsid w:val="00C160E7"/>
    <w:rsid w:val="00C1628B"/>
    <w:rsid w:val="00C1651D"/>
    <w:rsid w:val="00C16D61"/>
    <w:rsid w:val="00C1707A"/>
    <w:rsid w:val="00C17240"/>
    <w:rsid w:val="00C17358"/>
    <w:rsid w:val="00C17B41"/>
    <w:rsid w:val="00C17B7E"/>
    <w:rsid w:val="00C17E4B"/>
    <w:rsid w:val="00C2040A"/>
    <w:rsid w:val="00C206B7"/>
    <w:rsid w:val="00C2070C"/>
    <w:rsid w:val="00C208AD"/>
    <w:rsid w:val="00C20B90"/>
    <w:rsid w:val="00C20D2B"/>
    <w:rsid w:val="00C21165"/>
    <w:rsid w:val="00C213CC"/>
    <w:rsid w:val="00C216C8"/>
    <w:rsid w:val="00C22365"/>
    <w:rsid w:val="00C22852"/>
    <w:rsid w:val="00C22971"/>
    <w:rsid w:val="00C231FE"/>
    <w:rsid w:val="00C23485"/>
    <w:rsid w:val="00C239C9"/>
    <w:rsid w:val="00C23C1F"/>
    <w:rsid w:val="00C2402C"/>
    <w:rsid w:val="00C24472"/>
    <w:rsid w:val="00C24480"/>
    <w:rsid w:val="00C2499B"/>
    <w:rsid w:val="00C24BB1"/>
    <w:rsid w:val="00C24DE6"/>
    <w:rsid w:val="00C25305"/>
    <w:rsid w:val="00C2544A"/>
    <w:rsid w:val="00C2596A"/>
    <w:rsid w:val="00C25B9C"/>
    <w:rsid w:val="00C25E77"/>
    <w:rsid w:val="00C26114"/>
    <w:rsid w:val="00C262F1"/>
    <w:rsid w:val="00C26392"/>
    <w:rsid w:val="00C26A77"/>
    <w:rsid w:val="00C26B5B"/>
    <w:rsid w:val="00C26D7B"/>
    <w:rsid w:val="00C26EB2"/>
    <w:rsid w:val="00C270A4"/>
    <w:rsid w:val="00C27537"/>
    <w:rsid w:val="00C27A7D"/>
    <w:rsid w:val="00C27F30"/>
    <w:rsid w:val="00C27F58"/>
    <w:rsid w:val="00C30257"/>
    <w:rsid w:val="00C307EF"/>
    <w:rsid w:val="00C30BBB"/>
    <w:rsid w:val="00C31072"/>
    <w:rsid w:val="00C310AA"/>
    <w:rsid w:val="00C317A1"/>
    <w:rsid w:val="00C319B2"/>
    <w:rsid w:val="00C31B53"/>
    <w:rsid w:val="00C31B56"/>
    <w:rsid w:val="00C31D6C"/>
    <w:rsid w:val="00C32845"/>
    <w:rsid w:val="00C328FE"/>
    <w:rsid w:val="00C332C5"/>
    <w:rsid w:val="00C33507"/>
    <w:rsid w:val="00C33551"/>
    <w:rsid w:val="00C338DB"/>
    <w:rsid w:val="00C33DB9"/>
    <w:rsid w:val="00C33FA3"/>
    <w:rsid w:val="00C33FCA"/>
    <w:rsid w:val="00C34698"/>
    <w:rsid w:val="00C34A05"/>
    <w:rsid w:val="00C34D22"/>
    <w:rsid w:val="00C3507D"/>
    <w:rsid w:val="00C35453"/>
    <w:rsid w:val="00C355A3"/>
    <w:rsid w:val="00C357BB"/>
    <w:rsid w:val="00C35C1C"/>
    <w:rsid w:val="00C35E28"/>
    <w:rsid w:val="00C35E43"/>
    <w:rsid w:val="00C3604B"/>
    <w:rsid w:val="00C36226"/>
    <w:rsid w:val="00C362EB"/>
    <w:rsid w:val="00C365B0"/>
    <w:rsid w:val="00C369F4"/>
    <w:rsid w:val="00C36CE1"/>
    <w:rsid w:val="00C36D7A"/>
    <w:rsid w:val="00C36D9B"/>
    <w:rsid w:val="00C36E7D"/>
    <w:rsid w:val="00C3781A"/>
    <w:rsid w:val="00C37942"/>
    <w:rsid w:val="00C40618"/>
    <w:rsid w:val="00C40AD2"/>
    <w:rsid w:val="00C40B79"/>
    <w:rsid w:val="00C40B9B"/>
    <w:rsid w:val="00C40BC6"/>
    <w:rsid w:val="00C40D47"/>
    <w:rsid w:val="00C4134A"/>
    <w:rsid w:val="00C4154B"/>
    <w:rsid w:val="00C41A83"/>
    <w:rsid w:val="00C41B6D"/>
    <w:rsid w:val="00C41C2B"/>
    <w:rsid w:val="00C41F91"/>
    <w:rsid w:val="00C42087"/>
    <w:rsid w:val="00C42107"/>
    <w:rsid w:val="00C422EF"/>
    <w:rsid w:val="00C42357"/>
    <w:rsid w:val="00C42660"/>
    <w:rsid w:val="00C42A38"/>
    <w:rsid w:val="00C4309A"/>
    <w:rsid w:val="00C43546"/>
    <w:rsid w:val="00C435ED"/>
    <w:rsid w:val="00C43745"/>
    <w:rsid w:val="00C4409D"/>
    <w:rsid w:val="00C44AB9"/>
    <w:rsid w:val="00C44E12"/>
    <w:rsid w:val="00C44E72"/>
    <w:rsid w:val="00C44FC7"/>
    <w:rsid w:val="00C45290"/>
    <w:rsid w:val="00C4548C"/>
    <w:rsid w:val="00C45634"/>
    <w:rsid w:val="00C45A06"/>
    <w:rsid w:val="00C45A70"/>
    <w:rsid w:val="00C45D96"/>
    <w:rsid w:val="00C45E70"/>
    <w:rsid w:val="00C4630F"/>
    <w:rsid w:val="00C46DBF"/>
    <w:rsid w:val="00C46F12"/>
    <w:rsid w:val="00C473E5"/>
    <w:rsid w:val="00C474EE"/>
    <w:rsid w:val="00C476B9"/>
    <w:rsid w:val="00C479E7"/>
    <w:rsid w:val="00C47E5B"/>
    <w:rsid w:val="00C50156"/>
    <w:rsid w:val="00C505AC"/>
    <w:rsid w:val="00C5077B"/>
    <w:rsid w:val="00C511C4"/>
    <w:rsid w:val="00C51223"/>
    <w:rsid w:val="00C512BE"/>
    <w:rsid w:val="00C51AAE"/>
    <w:rsid w:val="00C51BAD"/>
    <w:rsid w:val="00C52397"/>
    <w:rsid w:val="00C526A7"/>
    <w:rsid w:val="00C529D2"/>
    <w:rsid w:val="00C52E50"/>
    <w:rsid w:val="00C53577"/>
    <w:rsid w:val="00C53AA2"/>
    <w:rsid w:val="00C544D6"/>
    <w:rsid w:val="00C545DC"/>
    <w:rsid w:val="00C5460D"/>
    <w:rsid w:val="00C548E5"/>
    <w:rsid w:val="00C54C7E"/>
    <w:rsid w:val="00C54CEB"/>
    <w:rsid w:val="00C54D2F"/>
    <w:rsid w:val="00C54E3F"/>
    <w:rsid w:val="00C550B3"/>
    <w:rsid w:val="00C5511D"/>
    <w:rsid w:val="00C55946"/>
    <w:rsid w:val="00C55BF1"/>
    <w:rsid w:val="00C55DE3"/>
    <w:rsid w:val="00C564A8"/>
    <w:rsid w:val="00C56C6B"/>
    <w:rsid w:val="00C56F52"/>
    <w:rsid w:val="00C57326"/>
    <w:rsid w:val="00C573AA"/>
    <w:rsid w:val="00C5771D"/>
    <w:rsid w:val="00C57777"/>
    <w:rsid w:val="00C57D0D"/>
    <w:rsid w:val="00C57D6E"/>
    <w:rsid w:val="00C57DB3"/>
    <w:rsid w:val="00C6023B"/>
    <w:rsid w:val="00C6072C"/>
    <w:rsid w:val="00C60856"/>
    <w:rsid w:val="00C608AC"/>
    <w:rsid w:val="00C61084"/>
    <w:rsid w:val="00C61617"/>
    <w:rsid w:val="00C61C7B"/>
    <w:rsid w:val="00C61E4B"/>
    <w:rsid w:val="00C62BA1"/>
    <w:rsid w:val="00C62CB4"/>
    <w:rsid w:val="00C62D18"/>
    <w:rsid w:val="00C639E8"/>
    <w:rsid w:val="00C64102"/>
    <w:rsid w:val="00C645BD"/>
    <w:rsid w:val="00C64611"/>
    <w:rsid w:val="00C64BFF"/>
    <w:rsid w:val="00C65026"/>
    <w:rsid w:val="00C6615D"/>
    <w:rsid w:val="00C6616A"/>
    <w:rsid w:val="00C66815"/>
    <w:rsid w:val="00C66FC2"/>
    <w:rsid w:val="00C67075"/>
    <w:rsid w:val="00C67BB3"/>
    <w:rsid w:val="00C70009"/>
    <w:rsid w:val="00C7000B"/>
    <w:rsid w:val="00C70048"/>
    <w:rsid w:val="00C70323"/>
    <w:rsid w:val="00C704E9"/>
    <w:rsid w:val="00C707E5"/>
    <w:rsid w:val="00C709A2"/>
    <w:rsid w:val="00C70A51"/>
    <w:rsid w:val="00C71076"/>
    <w:rsid w:val="00C711FC"/>
    <w:rsid w:val="00C713E8"/>
    <w:rsid w:val="00C7147D"/>
    <w:rsid w:val="00C71551"/>
    <w:rsid w:val="00C72198"/>
    <w:rsid w:val="00C7223A"/>
    <w:rsid w:val="00C727B8"/>
    <w:rsid w:val="00C72915"/>
    <w:rsid w:val="00C7297E"/>
    <w:rsid w:val="00C72CD4"/>
    <w:rsid w:val="00C72DDC"/>
    <w:rsid w:val="00C731B0"/>
    <w:rsid w:val="00C731B1"/>
    <w:rsid w:val="00C733EC"/>
    <w:rsid w:val="00C7391F"/>
    <w:rsid w:val="00C74231"/>
    <w:rsid w:val="00C74529"/>
    <w:rsid w:val="00C74916"/>
    <w:rsid w:val="00C74D9B"/>
    <w:rsid w:val="00C75B50"/>
    <w:rsid w:val="00C75D3B"/>
    <w:rsid w:val="00C76182"/>
    <w:rsid w:val="00C76186"/>
    <w:rsid w:val="00C763C9"/>
    <w:rsid w:val="00C76441"/>
    <w:rsid w:val="00C76DBC"/>
    <w:rsid w:val="00C7721C"/>
    <w:rsid w:val="00C776BC"/>
    <w:rsid w:val="00C77C0C"/>
    <w:rsid w:val="00C77E54"/>
    <w:rsid w:val="00C80057"/>
    <w:rsid w:val="00C803B1"/>
    <w:rsid w:val="00C8109C"/>
    <w:rsid w:val="00C81240"/>
    <w:rsid w:val="00C81489"/>
    <w:rsid w:val="00C81882"/>
    <w:rsid w:val="00C81A27"/>
    <w:rsid w:val="00C81B38"/>
    <w:rsid w:val="00C81E12"/>
    <w:rsid w:val="00C82232"/>
    <w:rsid w:val="00C8264C"/>
    <w:rsid w:val="00C82913"/>
    <w:rsid w:val="00C82915"/>
    <w:rsid w:val="00C82B4D"/>
    <w:rsid w:val="00C82C5D"/>
    <w:rsid w:val="00C82D8F"/>
    <w:rsid w:val="00C837C4"/>
    <w:rsid w:val="00C838C9"/>
    <w:rsid w:val="00C8390F"/>
    <w:rsid w:val="00C83AEA"/>
    <w:rsid w:val="00C8403B"/>
    <w:rsid w:val="00C8424F"/>
    <w:rsid w:val="00C84B12"/>
    <w:rsid w:val="00C851D7"/>
    <w:rsid w:val="00C8565B"/>
    <w:rsid w:val="00C85721"/>
    <w:rsid w:val="00C857D4"/>
    <w:rsid w:val="00C85816"/>
    <w:rsid w:val="00C859F6"/>
    <w:rsid w:val="00C85AAF"/>
    <w:rsid w:val="00C8619F"/>
    <w:rsid w:val="00C866B9"/>
    <w:rsid w:val="00C86979"/>
    <w:rsid w:val="00C86B1F"/>
    <w:rsid w:val="00C8766F"/>
    <w:rsid w:val="00C8786A"/>
    <w:rsid w:val="00C878D9"/>
    <w:rsid w:val="00C87DFC"/>
    <w:rsid w:val="00C907BE"/>
    <w:rsid w:val="00C908EB"/>
    <w:rsid w:val="00C90A19"/>
    <w:rsid w:val="00C91885"/>
    <w:rsid w:val="00C91901"/>
    <w:rsid w:val="00C91AEA"/>
    <w:rsid w:val="00C91F59"/>
    <w:rsid w:val="00C920A6"/>
    <w:rsid w:val="00C922D2"/>
    <w:rsid w:val="00C926AC"/>
    <w:rsid w:val="00C92AEE"/>
    <w:rsid w:val="00C92E32"/>
    <w:rsid w:val="00C92EB9"/>
    <w:rsid w:val="00C9306A"/>
    <w:rsid w:val="00C93269"/>
    <w:rsid w:val="00C93731"/>
    <w:rsid w:val="00C93FCE"/>
    <w:rsid w:val="00C950EC"/>
    <w:rsid w:val="00C95417"/>
    <w:rsid w:val="00C95BBF"/>
    <w:rsid w:val="00C95CD2"/>
    <w:rsid w:val="00C96167"/>
    <w:rsid w:val="00C9648A"/>
    <w:rsid w:val="00C964A4"/>
    <w:rsid w:val="00C9651B"/>
    <w:rsid w:val="00C96790"/>
    <w:rsid w:val="00C96B04"/>
    <w:rsid w:val="00C96B5C"/>
    <w:rsid w:val="00C97166"/>
    <w:rsid w:val="00C9726E"/>
    <w:rsid w:val="00C972B1"/>
    <w:rsid w:val="00C972BE"/>
    <w:rsid w:val="00C975CA"/>
    <w:rsid w:val="00C978C8"/>
    <w:rsid w:val="00C978FF"/>
    <w:rsid w:val="00C97AC7"/>
    <w:rsid w:val="00CA0267"/>
    <w:rsid w:val="00CA06C9"/>
    <w:rsid w:val="00CA083A"/>
    <w:rsid w:val="00CA0911"/>
    <w:rsid w:val="00CA0914"/>
    <w:rsid w:val="00CA0CFC"/>
    <w:rsid w:val="00CA17B2"/>
    <w:rsid w:val="00CA1FF5"/>
    <w:rsid w:val="00CA2276"/>
    <w:rsid w:val="00CA24F6"/>
    <w:rsid w:val="00CA293D"/>
    <w:rsid w:val="00CA2AD3"/>
    <w:rsid w:val="00CA2AEB"/>
    <w:rsid w:val="00CA2B93"/>
    <w:rsid w:val="00CA2CCE"/>
    <w:rsid w:val="00CA2D63"/>
    <w:rsid w:val="00CA33D0"/>
    <w:rsid w:val="00CA343A"/>
    <w:rsid w:val="00CA3446"/>
    <w:rsid w:val="00CA3905"/>
    <w:rsid w:val="00CA3BB8"/>
    <w:rsid w:val="00CA3C2A"/>
    <w:rsid w:val="00CA3D90"/>
    <w:rsid w:val="00CA3DB6"/>
    <w:rsid w:val="00CA43FD"/>
    <w:rsid w:val="00CA44E4"/>
    <w:rsid w:val="00CA4635"/>
    <w:rsid w:val="00CA4B24"/>
    <w:rsid w:val="00CA4D3B"/>
    <w:rsid w:val="00CA4DFF"/>
    <w:rsid w:val="00CA4E52"/>
    <w:rsid w:val="00CA4E64"/>
    <w:rsid w:val="00CA5273"/>
    <w:rsid w:val="00CA5E19"/>
    <w:rsid w:val="00CA5E44"/>
    <w:rsid w:val="00CA65E9"/>
    <w:rsid w:val="00CA6873"/>
    <w:rsid w:val="00CA6A62"/>
    <w:rsid w:val="00CA6C93"/>
    <w:rsid w:val="00CA7110"/>
    <w:rsid w:val="00CA71E3"/>
    <w:rsid w:val="00CA72C5"/>
    <w:rsid w:val="00CA769D"/>
    <w:rsid w:val="00CA7C14"/>
    <w:rsid w:val="00CA7D54"/>
    <w:rsid w:val="00CA7EF8"/>
    <w:rsid w:val="00CB0643"/>
    <w:rsid w:val="00CB10BE"/>
    <w:rsid w:val="00CB136D"/>
    <w:rsid w:val="00CB17B3"/>
    <w:rsid w:val="00CB1804"/>
    <w:rsid w:val="00CB1FF3"/>
    <w:rsid w:val="00CB2366"/>
    <w:rsid w:val="00CB25F2"/>
    <w:rsid w:val="00CB2810"/>
    <w:rsid w:val="00CB2D28"/>
    <w:rsid w:val="00CB2E64"/>
    <w:rsid w:val="00CB2F9E"/>
    <w:rsid w:val="00CB39BE"/>
    <w:rsid w:val="00CB3A5D"/>
    <w:rsid w:val="00CB3E55"/>
    <w:rsid w:val="00CB4907"/>
    <w:rsid w:val="00CB4A11"/>
    <w:rsid w:val="00CB4BBD"/>
    <w:rsid w:val="00CB4BC2"/>
    <w:rsid w:val="00CB4DC8"/>
    <w:rsid w:val="00CB5049"/>
    <w:rsid w:val="00CB55CF"/>
    <w:rsid w:val="00CB67E2"/>
    <w:rsid w:val="00CB6A69"/>
    <w:rsid w:val="00CB6B3E"/>
    <w:rsid w:val="00CB6DB4"/>
    <w:rsid w:val="00CB7182"/>
    <w:rsid w:val="00CB74CA"/>
    <w:rsid w:val="00CB7741"/>
    <w:rsid w:val="00CB7984"/>
    <w:rsid w:val="00CB79DD"/>
    <w:rsid w:val="00CB7A18"/>
    <w:rsid w:val="00CB7B38"/>
    <w:rsid w:val="00CB7E3F"/>
    <w:rsid w:val="00CC0384"/>
    <w:rsid w:val="00CC05C6"/>
    <w:rsid w:val="00CC0672"/>
    <w:rsid w:val="00CC0749"/>
    <w:rsid w:val="00CC08ED"/>
    <w:rsid w:val="00CC0960"/>
    <w:rsid w:val="00CC0D6C"/>
    <w:rsid w:val="00CC0E5A"/>
    <w:rsid w:val="00CC1451"/>
    <w:rsid w:val="00CC14DF"/>
    <w:rsid w:val="00CC1ED9"/>
    <w:rsid w:val="00CC2379"/>
    <w:rsid w:val="00CC2391"/>
    <w:rsid w:val="00CC244F"/>
    <w:rsid w:val="00CC26D6"/>
    <w:rsid w:val="00CC2A93"/>
    <w:rsid w:val="00CC2FE1"/>
    <w:rsid w:val="00CC3106"/>
    <w:rsid w:val="00CC31C1"/>
    <w:rsid w:val="00CC3330"/>
    <w:rsid w:val="00CC3370"/>
    <w:rsid w:val="00CC3573"/>
    <w:rsid w:val="00CC37D9"/>
    <w:rsid w:val="00CC3D48"/>
    <w:rsid w:val="00CC3DCD"/>
    <w:rsid w:val="00CC40B1"/>
    <w:rsid w:val="00CC474D"/>
    <w:rsid w:val="00CC489B"/>
    <w:rsid w:val="00CC49A0"/>
    <w:rsid w:val="00CC4EBA"/>
    <w:rsid w:val="00CC4F45"/>
    <w:rsid w:val="00CC53C4"/>
    <w:rsid w:val="00CC5C85"/>
    <w:rsid w:val="00CC5D65"/>
    <w:rsid w:val="00CC6F0F"/>
    <w:rsid w:val="00CC724F"/>
    <w:rsid w:val="00CC72E1"/>
    <w:rsid w:val="00CC77A8"/>
    <w:rsid w:val="00CC792C"/>
    <w:rsid w:val="00CC7CBD"/>
    <w:rsid w:val="00CC7D8B"/>
    <w:rsid w:val="00CC7E6F"/>
    <w:rsid w:val="00CD0A43"/>
    <w:rsid w:val="00CD0DAD"/>
    <w:rsid w:val="00CD1004"/>
    <w:rsid w:val="00CD10B9"/>
    <w:rsid w:val="00CD164D"/>
    <w:rsid w:val="00CD2AA7"/>
    <w:rsid w:val="00CD2BCD"/>
    <w:rsid w:val="00CD2C06"/>
    <w:rsid w:val="00CD2E1E"/>
    <w:rsid w:val="00CD33D1"/>
    <w:rsid w:val="00CD3A4C"/>
    <w:rsid w:val="00CD3E94"/>
    <w:rsid w:val="00CD40F8"/>
    <w:rsid w:val="00CD44A9"/>
    <w:rsid w:val="00CD46D0"/>
    <w:rsid w:val="00CD4926"/>
    <w:rsid w:val="00CD4CAA"/>
    <w:rsid w:val="00CD4E71"/>
    <w:rsid w:val="00CD51FF"/>
    <w:rsid w:val="00CD52B0"/>
    <w:rsid w:val="00CD52EB"/>
    <w:rsid w:val="00CD53AA"/>
    <w:rsid w:val="00CD5D65"/>
    <w:rsid w:val="00CD6388"/>
    <w:rsid w:val="00CD72DC"/>
    <w:rsid w:val="00CD7AC5"/>
    <w:rsid w:val="00CD7D30"/>
    <w:rsid w:val="00CE095D"/>
    <w:rsid w:val="00CE10E9"/>
    <w:rsid w:val="00CE1646"/>
    <w:rsid w:val="00CE18BD"/>
    <w:rsid w:val="00CE196F"/>
    <w:rsid w:val="00CE1FA9"/>
    <w:rsid w:val="00CE1FEB"/>
    <w:rsid w:val="00CE249E"/>
    <w:rsid w:val="00CE2910"/>
    <w:rsid w:val="00CE3B71"/>
    <w:rsid w:val="00CE412C"/>
    <w:rsid w:val="00CE41A3"/>
    <w:rsid w:val="00CE4688"/>
    <w:rsid w:val="00CE47F9"/>
    <w:rsid w:val="00CE4809"/>
    <w:rsid w:val="00CE48DD"/>
    <w:rsid w:val="00CE4A07"/>
    <w:rsid w:val="00CE4CB1"/>
    <w:rsid w:val="00CE5162"/>
    <w:rsid w:val="00CE5393"/>
    <w:rsid w:val="00CE5451"/>
    <w:rsid w:val="00CE545F"/>
    <w:rsid w:val="00CE5790"/>
    <w:rsid w:val="00CE590F"/>
    <w:rsid w:val="00CE5ACC"/>
    <w:rsid w:val="00CE6437"/>
    <w:rsid w:val="00CE64C2"/>
    <w:rsid w:val="00CE6672"/>
    <w:rsid w:val="00CE6705"/>
    <w:rsid w:val="00CE67C7"/>
    <w:rsid w:val="00CE79F6"/>
    <w:rsid w:val="00CE7F87"/>
    <w:rsid w:val="00CF0340"/>
    <w:rsid w:val="00CF0982"/>
    <w:rsid w:val="00CF0F7F"/>
    <w:rsid w:val="00CF1320"/>
    <w:rsid w:val="00CF1878"/>
    <w:rsid w:val="00CF1E73"/>
    <w:rsid w:val="00CF1EAC"/>
    <w:rsid w:val="00CF2327"/>
    <w:rsid w:val="00CF23B8"/>
    <w:rsid w:val="00CF2809"/>
    <w:rsid w:val="00CF2B45"/>
    <w:rsid w:val="00CF32AB"/>
    <w:rsid w:val="00CF3556"/>
    <w:rsid w:val="00CF36BE"/>
    <w:rsid w:val="00CF3A8D"/>
    <w:rsid w:val="00CF3C76"/>
    <w:rsid w:val="00CF4150"/>
    <w:rsid w:val="00CF45EC"/>
    <w:rsid w:val="00CF47CE"/>
    <w:rsid w:val="00CF48C3"/>
    <w:rsid w:val="00CF4E6D"/>
    <w:rsid w:val="00CF5539"/>
    <w:rsid w:val="00CF5588"/>
    <w:rsid w:val="00CF5F2D"/>
    <w:rsid w:val="00CF6000"/>
    <w:rsid w:val="00CF670D"/>
    <w:rsid w:val="00CF6C9E"/>
    <w:rsid w:val="00CF70AB"/>
    <w:rsid w:val="00CF746C"/>
    <w:rsid w:val="00CF7A82"/>
    <w:rsid w:val="00D003F3"/>
    <w:rsid w:val="00D00564"/>
    <w:rsid w:val="00D007FC"/>
    <w:rsid w:val="00D00B37"/>
    <w:rsid w:val="00D017E1"/>
    <w:rsid w:val="00D01CB0"/>
    <w:rsid w:val="00D01D1C"/>
    <w:rsid w:val="00D023E0"/>
    <w:rsid w:val="00D02BDE"/>
    <w:rsid w:val="00D030A2"/>
    <w:rsid w:val="00D030AB"/>
    <w:rsid w:val="00D0325E"/>
    <w:rsid w:val="00D0364F"/>
    <w:rsid w:val="00D03C3F"/>
    <w:rsid w:val="00D03C83"/>
    <w:rsid w:val="00D03E93"/>
    <w:rsid w:val="00D0415E"/>
    <w:rsid w:val="00D04167"/>
    <w:rsid w:val="00D04428"/>
    <w:rsid w:val="00D04575"/>
    <w:rsid w:val="00D04959"/>
    <w:rsid w:val="00D04B5E"/>
    <w:rsid w:val="00D056A3"/>
    <w:rsid w:val="00D059AF"/>
    <w:rsid w:val="00D05CFD"/>
    <w:rsid w:val="00D05E64"/>
    <w:rsid w:val="00D06144"/>
    <w:rsid w:val="00D06571"/>
    <w:rsid w:val="00D06834"/>
    <w:rsid w:val="00D07123"/>
    <w:rsid w:val="00D072EF"/>
    <w:rsid w:val="00D07942"/>
    <w:rsid w:val="00D079D0"/>
    <w:rsid w:val="00D10002"/>
    <w:rsid w:val="00D10304"/>
    <w:rsid w:val="00D1051D"/>
    <w:rsid w:val="00D1064E"/>
    <w:rsid w:val="00D106CF"/>
    <w:rsid w:val="00D10A8F"/>
    <w:rsid w:val="00D10CF4"/>
    <w:rsid w:val="00D10E7D"/>
    <w:rsid w:val="00D10EE5"/>
    <w:rsid w:val="00D1123A"/>
    <w:rsid w:val="00D11290"/>
    <w:rsid w:val="00D12322"/>
    <w:rsid w:val="00D12488"/>
    <w:rsid w:val="00D12B92"/>
    <w:rsid w:val="00D12C71"/>
    <w:rsid w:val="00D1302D"/>
    <w:rsid w:val="00D134FC"/>
    <w:rsid w:val="00D136AF"/>
    <w:rsid w:val="00D13E1C"/>
    <w:rsid w:val="00D14CB7"/>
    <w:rsid w:val="00D14D4A"/>
    <w:rsid w:val="00D15086"/>
    <w:rsid w:val="00D153FC"/>
    <w:rsid w:val="00D15483"/>
    <w:rsid w:val="00D1571C"/>
    <w:rsid w:val="00D15E2D"/>
    <w:rsid w:val="00D15EE3"/>
    <w:rsid w:val="00D161F0"/>
    <w:rsid w:val="00D16450"/>
    <w:rsid w:val="00D165D6"/>
    <w:rsid w:val="00D170A2"/>
    <w:rsid w:val="00D2002C"/>
    <w:rsid w:val="00D2002E"/>
    <w:rsid w:val="00D200EB"/>
    <w:rsid w:val="00D20C02"/>
    <w:rsid w:val="00D2130C"/>
    <w:rsid w:val="00D21626"/>
    <w:rsid w:val="00D21801"/>
    <w:rsid w:val="00D21A63"/>
    <w:rsid w:val="00D21CF2"/>
    <w:rsid w:val="00D2204F"/>
    <w:rsid w:val="00D225EA"/>
    <w:rsid w:val="00D22605"/>
    <w:rsid w:val="00D22A51"/>
    <w:rsid w:val="00D22EBC"/>
    <w:rsid w:val="00D22F0A"/>
    <w:rsid w:val="00D22F28"/>
    <w:rsid w:val="00D22FF6"/>
    <w:rsid w:val="00D23096"/>
    <w:rsid w:val="00D230E8"/>
    <w:rsid w:val="00D2314C"/>
    <w:rsid w:val="00D23697"/>
    <w:rsid w:val="00D23CB7"/>
    <w:rsid w:val="00D23DFB"/>
    <w:rsid w:val="00D24002"/>
    <w:rsid w:val="00D24144"/>
    <w:rsid w:val="00D242B3"/>
    <w:rsid w:val="00D2447F"/>
    <w:rsid w:val="00D247EA"/>
    <w:rsid w:val="00D24C40"/>
    <w:rsid w:val="00D24DA3"/>
    <w:rsid w:val="00D25313"/>
    <w:rsid w:val="00D25869"/>
    <w:rsid w:val="00D25E40"/>
    <w:rsid w:val="00D26464"/>
    <w:rsid w:val="00D26A02"/>
    <w:rsid w:val="00D26C53"/>
    <w:rsid w:val="00D271E9"/>
    <w:rsid w:val="00D27331"/>
    <w:rsid w:val="00D27786"/>
    <w:rsid w:val="00D27DA9"/>
    <w:rsid w:val="00D27F53"/>
    <w:rsid w:val="00D303AE"/>
    <w:rsid w:val="00D304AB"/>
    <w:rsid w:val="00D30649"/>
    <w:rsid w:val="00D308ED"/>
    <w:rsid w:val="00D30A7F"/>
    <w:rsid w:val="00D30C42"/>
    <w:rsid w:val="00D30C74"/>
    <w:rsid w:val="00D30C87"/>
    <w:rsid w:val="00D3160B"/>
    <w:rsid w:val="00D31AAF"/>
    <w:rsid w:val="00D31CA9"/>
    <w:rsid w:val="00D32468"/>
    <w:rsid w:val="00D32491"/>
    <w:rsid w:val="00D32636"/>
    <w:rsid w:val="00D3270D"/>
    <w:rsid w:val="00D329E7"/>
    <w:rsid w:val="00D32A36"/>
    <w:rsid w:val="00D32B11"/>
    <w:rsid w:val="00D32E8F"/>
    <w:rsid w:val="00D33328"/>
    <w:rsid w:val="00D336EA"/>
    <w:rsid w:val="00D33845"/>
    <w:rsid w:val="00D3394F"/>
    <w:rsid w:val="00D33F85"/>
    <w:rsid w:val="00D34285"/>
    <w:rsid w:val="00D342CF"/>
    <w:rsid w:val="00D343B2"/>
    <w:rsid w:val="00D344E8"/>
    <w:rsid w:val="00D347EF"/>
    <w:rsid w:val="00D3487F"/>
    <w:rsid w:val="00D358CD"/>
    <w:rsid w:val="00D359FD"/>
    <w:rsid w:val="00D35DBF"/>
    <w:rsid w:val="00D3624A"/>
    <w:rsid w:val="00D36D86"/>
    <w:rsid w:val="00D374DC"/>
    <w:rsid w:val="00D3763B"/>
    <w:rsid w:val="00D3764C"/>
    <w:rsid w:val="00D376B2"/>
    <w:rsid w:val="00D377EE"/>
    <w:rsid w:val="00D37D71"/>
    <w:rsid w:val="00D40264"/>
    <w:rsid w:val="00D40373"/>
    <w:rsid w:val="00D4052E"/>
    <w:rsid w:val="00D40730"/>
    <w:rsid w:val="00D40A29"/>
    <w:rsid w:val="00D41612"/>
    <w:rsid w:val="00D41D8A"/>
    <w:rsid w:val="00D42648"/>
    <w:rsid w:val="00D427E3"/>
    <w:rsid w:val="00D428AA"/>
    <w:rsid w:val="00D42F68"/>
    <w:rsid w:val="00D43122"/>
    <w:rsid w:val="00D435E5"/>
    <w:rsid w:val="00D43839"/>
    <w:rsid w:val="00D4397F"/>
    <w:rsid w:val="00D43AEE"/>
    <w:rsid w:val="00D43B31"/>
    <w:rsid w:val="00D43EA6"/>
    <w:rsid w:val="00D44205"/>
    <w:rsid w:val="00D44AC6"/>
    <w:rsid w:val="00D44E84"/>
    <w:rsid w:val="00D454F7"/>
    <w:rsid w:val="00D455A5"/>
    <w:rsid w:val="00D456F0"/>
    <w:rsid w:val="00D4616D"/>
    <w:rsid w:val="00D4674F"/>
    <w:rsid w:val="00D46A92"/>
    <w:rsid w:val="00D46E10"/>
    <w:rsid w:val="00D46F53"/>
    <w:rsid w:val="00D47467"/>
    <w:rsid w:val="00D47B2F"/>
    <w:rsid w:val="00D47E73"/>
    <w:rsid w:val="00D47FB8"/>
    <w:rsid w:val="00D5019B"/>
    <w:rsid w:val="00D506CD"/>
    <w:rsid w:val="00D50A34"/>
    <w:rsid w:val="00D510B0"/>
    <w:rsid w:val="00D5136D"/>
    <w:rsid w:val="00D5141C"/>
    <w:rsid w:val="00D51807"/>
    <w:rsid w:val="00D51ADB"/>
    <w:rsid w:val="00D51E1C"/>
    <w:rsid w:val="00D520CC"/>
    <w:rsid w:val="00D522C2"/>
    <w:rsid w:val="00D52865"/>
    <w:rsid w:val="00D529B9"/>
    <w:rsid w:val="00D52F06"/>
    <w:rsid w:val="00D533EB"/>
    <w:rsid w:val="00D539D4"/>
    <w:rsid w:val="00D53ABE"/>
    <w:rsid w:val="00D53EFA"/>
    <w:rsid w:val="00D53F36"/>
    <w:rsid w:val="00D5409E"/>
    <w:rsid w:val="00D54978"/>
    <w:rsid w:val="00D553D3"/>
    <w:rsid w:val="00D556C2"/>
    <w:rsid w:val="00D55C1C"/>
    <w:rsid w:val="00D56733"/>
    <w:rsid w:val="00D5673A"/>
    <w:rsid w:val="00D56B23"/>
    <w:rsid w:val="00D56D73"/>
    <w:rsid w:val="00D56DD0"/>
    <w:rsid w:val="00D56EC4"/>
    <w:rsid w:val="00D57393"/>
    <w:rsid w:val="00D5752F"/>
    <w:rsid w:val="00D576B2"/>
    <w:rsid w:val="00D57884"/>
    <w:rsid w:val="00D60228"/>
    <w:rsid w:val="00D604F6"/>
    <w:rsid w:val="00D6085D"/>
    <w:rsid w:val="00D60E2E"/>
    <w:rsid w:val="00D61172"/>
    <w:rsid w:val="00D61BDE"/>
    <w:rsid w:val="00D61E41"/>
    <w:rsid w:val="00D61E83"/>
    <w:rsid w:val="00D62071"/>
    <w:rsid w:val="00D621EB"/>
    <w:rsid w:val="00D62295"/>
    <w:rsid w:val="00D6230A"/>
    <w:rsid w:val="00D6245A"/>
    <w:rsid w:val="00D6271E"/>
    <w:rsid w:val="00D6273D"/>
    <w:rsid w:val="00D62FC3"/>
    <w:rsid w:val="00D635B9"/>
    <w:rsid w:val="00D63A8A"/>
    <w:rsid w:val="00D63F57"/>
    <w:rsid w:val="00D640A9"/>
    <w:rsid w:val="00D642A3"/>
    <w:rsid w:val="00D6439D"/>
    <w:rsid w:val="00D64933"/>
    <w:rsid w:val="00D64C25"/>
    <w:rsid w:val="00D64F69"/>
    <w:rsid w:val="00D6509B"/>
    <w:rsid w:val="00D65171"/>
    <w:rsid w:val="00D65B64"/>
    <w:rsid w:val="00D65D99"/>
    <w:rsid w:val="00D65FA5"/>
    <w:rsid w:val="00D66194"/>
    <w:rsid w:val="00D662E5"/>
    <w:rsid w:val="00D6691D"/>
    <w:rsid w:val="00D66C37"/>
    <w:rsid w:val="00D66D9A"/>
    <w:rsid w:val="00D700A8"/>
    <w:rsid w:val="00D70E14"/>
    <w:rsid w:val="00D71048"/>
    <w:rsid w:val="00D710ED"/>
    <w:rsid w:val="00D71468"/>
    <w:rsid w:val="00D7161E"/>
    <w:rsid w:val="00D71688"/>
    <w:rsid w:val="00D71760"/>
    <w:rsid w:val="00D718C6"/>
    <w:rsid w:val="00D7195A"/>
    <w:rsid w:val="00D7197E"/>
    <w:rsid w:val="00D71BD1"/>
    <w:rsid w:val="00D71DE7"/>
    <w:rsid w:val="00D71F39"/>
    <w:rsid w:val="00D71F68"/>
    <w:rsid w:val="00D72008"/>
    <w:rsid w:val="00D7208A"/>
    <w:rsid w:val="00D726B6"/>
    <w:rsid w:val="00D72797"/>
    <w:rsid w:val="00D72846"/>
    <w:rsid w:val="00D729EC"/>
    <w:rsid w:val="00D72C05"/>
    <w:rsid w:val="00D72D19"/>
    <w:rsid w:val="00D72F9B"/>
    <w:rsid w:val="00D730CF"/>
    <w:rsid w:val="00D7329E"/>
    <w:rsid w:val="00D73363"/>
    <w:rsid w:val="00D73691"/>
    <w:rsid w:val="00D737F0"/>
    <w:rsid w:val="00D738C9"/>
    <w:rsid w:val="00D73A1F"/>
    <w:rsid w:val="00D73FF0"/>
    <w:rsid w:val="00D73FF5"/>
    <w:rsid w:val="00D744C0"/>
    <w:rsid w:val="00D74FCD"/>
    <w:rsid w:val="00D752AC"/>
    <w:rsid w:val="00D754D7"/>
    <w:rsid w:val="00D756DE"/>
    <w:rsid w:val="00D75930"/>
    <w:rsid w:val="00D75F1C"/>
    <w:rsid w:val="00D76D50"/>
    <w:rsid w:val="00D77387"/>
    <w:rsid w:val="00D7762D"/>
    <w:rsid w:val="00D776DE"/>
    <w:rsid w:val="00D77A0F"/>
    <w:rsid w:val="00D77E33"/>
    <w:rsid w:val="00D77EC8"/>
    <w:rsid w:val="00D80027"/>
    <w:rsid w:val="00D80093"/>
    <w:rsid w:val="00D80278"/>
    <w:rsid w:val="00D802F0"/>
    <w:rsid w:val="00D80525"/>
    <w:rsid w:val="00D805CD"/>
    <w:rsid w:val="00D80714"/>
    <w:rsid w:val="00D807FB"/>
    <w:rsid w:val="00D80C04"/>
    <w:rsid w:val="00D80CDF"/>
    <w:rsid w:val="00D80F51"/>
    <w:rsid w:val="00D80FA2"/>
    <w:rsid w:val="00D81282"/>
    <w:rsid w:val="00D81777"/>
    <w:rsid w:val="00D81882"/>
    <w:rsid w:val="00D81CF7"/>
    <w:rsid w:val="00D827A9"/>
    <w:rsid w:val="00D827FD"/>
    <w:rsid w:val="00D83195"/>
    <w:rsid w:val="00D835B8"/>
    <w:rsid w:val="00D83AE4"/>
    <w:rsid w:val="00D83CB8"/>
    <w:rsid w:val="00D840CF"/>
    <w:rsid w:val="00D8424F"/>
    <w:rsid w:val="00D84282"/>
    <w:rsid w:val="00D84FE6"/>
    <w:rsid w:val="00D8520B"/>
    <w:rsid w:val="00D85798"/>
    <w:rsid w:val="00D85AE8"/>
    <w:rsid w:val="00D85B57"/>
    <w:rsid w:val="00D85EAA"/>
    <w:rsid w:val="00D85FFB"/>
    <w:rsid w:val="00D86292"/>
    <w:rsid w:val="00D86471"/>
    <w:rsid w:val="00D87604"/>
    <w:rsid w:val="00D87AE8"/>
    <w:rsid w:val="00D87D50"/>
    <w:rsid w:val="00D87F4E"/>
    <w:rsid w:val="00D900B6"/>
    <w:rsid w:val="00D9026B"/>
    <w:rsid w:val="00D90F80"/>
    <w:rsid w:val="00D91749"/>
    <w:rsid w:val="00D91881"/>
    <w:rsid w:val="00D91DA1"/>
    <w:rsid w:val="00D91E94"/>
    <w:rsid w:val="00D91FC6"/>
    <w:rsid w:val="00D924CE"/>
    <w:rsid w:val="00D9268B"/>
    <w:rsid w:val="00D92B30"/>
    <w:rsid w:val="00D92C30"/>
    <w:rsid w:val="00D92CFF"/>
    <w:rsid w:val="00D92EF5"/>
    <w:rsid w:val="00D931BE"/>
    <w:rsid w:val="00D93A20"/>
    <w:rsid w:val="00D93C82"/>
    <w:rsid w:val="00D93E56"/>
    <w:rsid w:val="00D9446F"/>
    <w:rsid w:val="00D94644"/>
    <w:rsid w:val="00D94769"/>
    <w:rsid w:val="00D94A7C"/>
    <w:rsid w:val="00D95045"/>
    <w:rsid w:val="00D9520A"/>
    <w:rsid w:val="00D95275"/>
    <w:rsid w:val="00D9532C"/>
    <w:rsid w:val="00D95896"/>
    <w:rsid w:val="00D95BFF"/>
    <w:rsid w:val="00D96068"/>
    <w:rsid w:val="00D96A12"/>
    <w:rsid w:val="00D96AE4"/>
    <w:rsid w:val="00D96D46"/>
    <w:rsid w:val="00D96D67"/>
    <w:rsid w:val="00D96E20"/>
    <w:rsid w:val="00D96ECC"/>
    <w:rsid w:val="00D97986"/>
    <w:rsid w:val="00DA108A"/>
    <w:rsid w:val="00DA115E"/>
    <w:rsid w:val="00DA1373"/>
    <w:rsid w:val="00DA161F"/>
    <w:rsid w:val="00DA1A08"/>
    <w:rsid w:val="00DA1CD9"/>
    <w:rsid w:val="00DA1E3A"/>
    <w:rsid w:val="00DA1EBD"/>
    <w:rsid w:val="00DA1FBF"/>
    <w:rsid w:val="00DA2151"/>
    <w:rsid w:val="00DA24E6"/>
    <w:rsid w:val="00DA2731"/>
    <w:rsid w:val="00DA2859"/>
    <w:rsid w:val="00DA368B"/>
    <w:rsid w:val="00DA39EC"/>
    <w:rsid w:val="00DA3C11"/>
    <w:rsid w:val="00DA4A5F"/>
    <w:rsid w:val="00DA4D77"/>
    <w:rsid w:val="00DA4E82"/>
    <w:rsid w:val="00DA5133"/>
    <w:rsid w:val="00DA52C4"/>
    <w:rsid w:val="00DA5A17"/>
    <w:rsid w:val="00DA5CC6"/>
    <w:rsid w:val="00DA60BD"/>
    <w:rsid w:val="00DA61D3"/>
    <w:rsid w:val="00DA6353"/>
    <w:rsid w:val="00DA636F"/>
    <w:rsid w:val="00DA63FF"/>
    <w:rsid w:val="00DA6812"/>
    <w:rsid w:val="00DA692E"/>
    <w:rsid w:val="00DA6B0B"/>
    <w:rsid w:val="00DA6C9D"/>
    <w:rsid w:val="00DA6EA3"/>
    <w:rsid w:val="00DA73ED"/>
    <w:rsid w:val="00DA7490"/>
    <w:rsid w:val="00DA773E"/>
    <w:rsid w:val="00DA7838"/>
    <w:rsid w:val="00DA79DB"/>
    <w:rsid w:val="00DA7A03"/>
    <w:rsid w:val="00DA7B55"/>
    <w:rsid w:val="00DA7EA7"/>
    <w:rsid w:val="00DA7F6C"/>
    <w:rsid w:val="00DA7F9D"/>
    <w:rsid w:val="00DB004B"/>
    <w:rsid w:val="00DB042C"/>
    <w:rsid w:val="00DB0498"/>
    <w:rsid w:val="00DB0A85"/>
    <w:rsid w:val="00DB0ED7"/>
    <w:rsid w:val="00DB1019"/>
    <w:rsid w:val="00DB1137"/>
    <w:rsid w:val="00DB12B3"/>
    <w:rsid w:val="00DB18A5"/>
    <w:rsid w:val="00DB2549"/>
    <w:rsid w:val="00DB2646"/>
    <w:rsid w:val="00DB2925"/>
    <w:rsid w:val="00DB2983"/>
    <w:rsid w:val="00DB2998"/>
    <w:rsid w:val="00DB2A05"/>
    <w:rsid w:val="00DB2C5D"/>
    <w:rsid w:val="00DB2DE3"/>
    <w:rsid w:val="00DB3042"/>
    <w:rsid w:val="00DB30ED"/>
    <w:rsid w:val="00DB32A8"/>
    <w:rsid w:val="00DB3436"/>
    <w:rsid w:val="00DB3A53"/>
    <w:rsid w:val="00DB3ACF"/>
    <w:rsid w:val="00DB47A4"/>
    <w:rsid w:val="00DB4962"/>
    <w:rsid w:val="00DB4B56"/>
    <w:rsid w:val="00DB5471"/>
    <w:rsid w:val="00DB56EC"/>
    <w:rsid w:val="00DB56FF"/>
    <w:rsid w:val="00DB574B"/>
    <w:rsid w:val="00DB5E0B"/>
    <w:rsid w:val="00DB615D"/>
    <w:rsid w:val="00DB6453"/>
    <w:rsid w:val="00DB65CF"/>
    <w:rsid w:val="00DB6CDA"/>
    <w:rsid w:val="00DB732C"/>
    <w:rsid w:val="00DB786D"/>
    <w:rsid w:val="00DB7DD0"/>
    <w:rsid w:val="00DB7F6A"/>
    <w:rsid w:val="00DC07B0"/>
    <w:rsid w:val="00DC0A14"/>
    <w:rsid w:val="00DC0DDF"/>
    <w:rsid w:val="00DC1257"/>
    <w:rsid w:val="00DC1568"/>
    <w:rsid w:val="00DC15DF"/>
    <w:rsid w:val="00DC1821"/>
    <w:rsid w:val="00DC19AE"/>
    <w:rsid w:val="00DC1DB7"/>
    <w:rsid w:val="00DC1F59"/>
    <w:rsid w:val="00DC20E7"/>
    <w:rsid w:val="00DC2AAF"/>
    <w:rsid w:val="00DC2B6C"/>
    <w:rsid w:val="00DC2FA0"/>
    <w:rsid w:val="00DC3182"/>
    <w:rsid w:val="00DC31F6"/>
    <w:rsid w:val="00DC3273"/>
    <w:rsid w:val="00DC3810"/>
    <w:rsid w:val="00DC39E5"/>
    <w:rsid w:val="00DC3DC0"/>
    <w:rsid w:val="00DC404D"/>
    <w:rsid w:val="00DC42E2"/>
    <w:rsid w:val="00DC43FF"/>
    <w:rsid w:val="00DC467F"/>
    <w:rsid w:val="00DC4723"/>
    <w:rsid w:val="00DC4893"/>
    <w:rsid w:val="00DC4900"/>
    <w:rsid w:val="00DC4B25"/>
    <w:rsid w:val="00DC4C44"/>
    <w:rsid w:val="00DC4E7D"/>
    <w:rsid w:val="00DC52B5"/>
    <w:rsid w:val="00DC533F"/>
    <w:rsid w:val="00DC5B2B"/>
    <w:rsid w:val="00DC5F00"/>
    <w:rsid w:val="00DC603E"/>
    <w:rsid w:val="00DC6237"/>
    <w:rsid w:val="00DC6953"/>
    <w:rsid w:val="00DC6E5E"/>
    <w:rsid w:val="00DC6FDD"/>
    <w:rsid w:val="00DC7072"/>
    <w:rsid w:val="00DC7623"/>
    <w:rsid w:val="00DC7642"/>
    <w:rsid w:val="00DD0026"/>
    <w:rsid w:val="00DD084E"/>
    <w:rsid w:val="00DD0DE8"/>
    <w:rsid w:val="00DD1273"/>
    <w:rsid w:val="00DD1AF2"/>
    <w:rsid w:val="00DD1E83"/>
    <w:rsid w:val="00DD1F47"/>
    <w:rsid w:val="00DD2409"/>
    <w:rsid w:val="00DD2FB3"/>
    <w:rsid w:val="00DD30DF"/>
    <w:rsid w:val="00DD318D"/>
    <w:rsid w:val="00DD3C38"/>
    <w:rsid w:val="00DD423B"/>
    <w:rsid w:val="00DD4565"/>
    <w:rsid w:val="00DD4849"/>
    <w:rsid w:val="00DD49D9"/>
    <w:rsid w:val="00DD4A5E"/>
    <w:rsid w:val="00DD4D4E"/>
    <w:rsid w:val="00DD4F3F"/>
    <w:rsid w:val="00DD51E7"/>
    <w:rsid w:val="00DD59A2"/>
    <w:rsid w:val="00DD5BC6"/>
    <w:rsid w:val="00DD5D82"/>
    <w:rsid w:val="00DD6605"/>
    <w:rsid w:val="00DD68CD"/>
    <w:rsid w:val="00DD6B37"/>
    <w:rsid w:val="00DD6BBC"/>
    <w:rsid w:val="00DD6D6F"/>
    <w:rsid w:val="00DD71E6"/>
    <w:rsid w:val="00DD74F5"/>
    <w:rsid w:val="00DD754F"/>
    <w:rsid w:val="00DD7819"/>
    <w:rsid w:val="00DD7D61"/>
    <w:rsid w:val="00DE0494"/>
    <w:rsid w:val="00DE066A"/>
    <w:rsid w:val="00DE0841"/>
    <w:rsid w:val="00DE0AD7"/>
    <w:rsid w:val="00DE0BCC"/>
    <w:rsid w:val="00DE1088"/>
    <w:rsid w:val="00DE18F8"/>
    <w:rsid w:val="00DE1B19"/>
    <w:rsid w:val="00DE1E41"/>
    <w:rsid w:val="00DE1F1F"/>
    <w:rsid w:val="00DE26BF"/>
    <w:rsid w:val="00DE2C5C"/>
    <w:rsid w:val="00DE3211"/>
    <w:rsid w:val="00DE32AF"/>
    <w:rsid w:val="00DE3707"/>
    <w:rsid w:val="00DE3B01"/>
    <w:rsid w:val="00DE417B"/>
    <w:rsid w:val="00DE472D"/>
    <w:rsid w:val="00DE4F91"/>
    <w:rsid w:val="00DE517A"/>
    <w:rsid w:val="00DE5555"/>
    <w:rsid w:val="00DE58A2"/>
    <w:rsid w:val="00DE6916"/>
    <w:rsid w:val="00DE6C5B"/>
    <w:rsid w:val="00DE6D7E"/>
    <w:rsid w:val="00DE7013"/>
    <w:rsid w:val="00DE739C"/>
    <w:rsid w:val="00DE7683"/>
    <w:rsid w:val="00DE76E9"/>
    <w:rsid w:val="00DE7D2A"/>
    <w:rsid w:val="00DE7E40"/>
    <w:rsid w:val="00DF00E4"/>
    <w:rsid w:val="00DF0663"/>
    <w:rsid w:val="00DF0C75"/>
    <w:rsid w:val="00DF149B"/>
    <w:rsid w:val="00DF1547"/>
    <w:rsid w:val="00DF1AB6"/>
    <w:rsid w:val="00DF1CBE"/>
    <w:rsid w:val="00DF21F6"/>
    <w:rsid w:val="00DF259B"/>
    <w:rsid w:val="00DF2744"/>
    <w:rsid w:val="00DF28EF"/>
    <w:rsid w:val="00DF2E12"/>
    <w:rsid w:val="00DF30FA"/>
    <w:rsid w:val="00DF3496"/>
    <w:rsid w:val="00DF36EE"/>
    <w:rsid w:val="00DF382D"/>
    <w:rsid w:val="00DF3A7F"/>
    <w:rsid w:val="00DF3BD2"/>
    <w:rsid w:val="00DF3D62"/>
    <w:rsid w:val="00DF41CF"/>
    <w:rsid w:val="00DF41F9"/>
    <w:rsid w:val="00DF465D"/>
    <w:rsid w:val="00DF466F"/>
    <w:rsid w:val="00DF48A5"/>
    <w:rsid w:val="00DF4C8E"/>
    <w:rsid w:val="00DF4D48"/>
    <w:rsid w:val="00DF514A"/>
    <w:rsid w:val="00DF58F3"/>
    <w:rsid w:val="00DF5B32"/>
    <w:rsid w:val="00DF5DA0"/>
    <w:rsid w:val="00DF5EBE"/>
    <w:rsid w:val="00DF6324"/>
    <w:rsid w:val="00DF6690"/>
    <w:rsid w:val="00DF6804"/>
    <w:rsid w:val="00DF6C33"/>
    <w:rsid w:val="00DF6EB5"/>
    <w:rsid w:val="00DF76BC"/>
    <w:rsid w:val="00DF7875"/>
    <w:rsid w:val="00DF7D72"/>
    <w:rsid w:val="00DF7E09"/>
    <w:rsid w:val="00DF7E99"/>
    <w:rsid w:val="00DF7EFF"/>
    <w:rsid w:val="00E001AE"/>
    <w:rsid w:val="00E008B0"/>
    <w:rsid w:val="00E009F4"/>
    <w:rsid w:val="00E00A93"/>
    <w:rsid w:val="00E00D70"/>
    <w:rsid w:val="00E00E62"/>
    <w:rsid w:val="00E011E9"/>
    <w:rsid w:val="00E0152D"/>
    <w:rsid w:val="00E016B6"/>
    <w:rsid w:val="00E01911"/>
    <w:rsid w:val="00E01A36"/>
    <w:rsid w:val="00E0203D"/>
    <w:rsid w:val="00E023BC"/>
    <w:rsid w:val="00E025A1"/>
    <w:rsid w:val="00E02C3C"/>
    <w:rsid w:val="00E02E80"/>
    <w:rsid w:val="00E03057"/>
    <w:rsid w:val="00E033DA"/>
    <w:rsid w:val="00E034D2"/>
    <w:rsid w:val="00E0358D"/>
    <w:rsid w:val="00E035FC"/>
    <w:rsid w:val="00E0362B"/>
    <w:rsid w:val="00E03875"/>
    <w:rsid w:val="00E040F2"/>
    <w:rsid w:val="00E04150"/>
    <w:rsid w:val="00E041DB"/>
    <w:rsid w:val="00E042A4"/>
    <w:rsid w:val="00E04323"/>
    <w:rsid w:val="00E0441C"/>
    <w:rsid w:val="00E044CB"/>
    <w:rsid w:val="00E047E9"/>
    <w:rsid w:val="00E05094"/>
    <w:rsid w:val="00E0567F"/>
    <w:rsid w:val="00E059E6"/>
    <w:rsid w:val="00E05A4C"/>
    <w:rsid w:val="00E0600E"/>
    <w:rsid w:val="00E069F7"/>
    <w:rsid w:val="00E06EA6"/>
    <w:rsid w:val="00E0701A"/>
    <w:rsid w:val="00E070A2"/>
    <w:rsid w:val="00E07412"/>
    <w:rsid w:val="00E0755D"/>
    <w:rsid w:val="00E078B5"/>
    <w:rsid w:val="00E07C18"/>
    <w:rsid w:val="00E07DDA"/>
    <w:rsid w:val="00E10856"/>
    <w:rsid w:val="00E10A05"/>
    <w:rsid w:val="00E111C6"/>
    <w:rsid w:val="00E11629"/>
    <w:rsid w:val="00E122BE"/>
    <w:rsid w:val="00E1276F"/>
    <w:rsid w:val="00E131BB"/>
    <w:rsid w:val="00E13A4C"/>
    <w:rsid w:val="00E13AF7"/>
    <w:rsid w:val="00E13D2A"/>
    <w:rsid w:val="00E13DA3"/>
    <w:rsid w:val="00E13FD6"/>
    <w:rsid w:val="00E141A2"/>
    <w:rsid w:val="00E141EE"/>
    <w:rsid w:val="00E14448"/>
    <w:rsid w:val="00E14722"/>
    <w:rsid w:val="00E14DAE"/>
    <w:rsid w:val="00E1521F"/>
    <w:rsid w:val="00E15872"/>
    <w:rsid w:val="00E15A20"/>
    <w:rsid w:val="00E15D5B"/>
    <w:rsid w:val="00E15E8A"/>
    <w:rsid w:val="00E15FE9"/>
    <w:rsid w:val="00E161A5"/>
    <w:rsid w:val="00E169DF"/>
    <w:rsid w:val="00E16F37"/>
    <w:rsid w:val="00E1768A"/>
    <w:rsid w:val="00E17931"/>
    <w:rsid w:val="00E17CA5"/>
    <w:rsid w:val="00E17EED"/>
    <w:rsid w:val="00E200E3"/>
    <w:rsid w:val="00E20531"/>
    <w:rsid w:val="00E206BD"/>
    <w:rsid w:val="00E206CD"/>
    <w:rsid w:val="00E206E9"/>
    <w:rsid w:val="00E20710"/>
    <w:rsid w:val="00E209DD"/>
    <w:rsid w:val="00E209FF"/>
    <w:rsid w:val="00E20A29"/>
    <w:rsid w:val="00E21589"/>
    <w:rsid w:val="00E21CA9"/>
    <w:rsid w:val="00E22532"/>
    <w:rsid w:val="00E225DB"/>
    <w:rsid w:val="00E22AAE"/>
    <w:rsid w:val="00E22FA3"/>
    <w:rsid w:val="00E24292"/>
    <w:rsid w:val="00E24639"/>
    <w:rsid w:val="00E24E47"/>
    <w:rsid w:val="00E2533E"/>
    <w:rsid w:val="00E25385"/>
    <w:rsid w:val="00E25459"/>
    <w:rsid w:val="00E26346"/>
    <w:rsid w:val="00E2656A"/>
    <w:rsid w:val="00E265E4"/>
    <w:rsid w:val="00E26949"/>
    <w:rsid w:val="00E26F5D"/>
    <w:rsid w:val="00E277AA"/>
    <w:rsid w:val="00E278F6"/>
    <w:rsid w:val="00E278FE"/>
    <w:rsid w:val="00E27F88"/>
    <w:rsid w:val="00E30528"/>
    <w:rsid w:val="00E30562"/>
    <w:rsid w:val="00E3064F"/>
    <w:rsid w:val="00E3074C"/>
    <w:rsid w:val="00E30ACA"/>
    <w:rsid w:val="00E30CA8"/>
    <w:rsid w:val="00E30EEC"/>
    <w:rsid w:val="00E310D0"/>
    <w:rsid w:val="00E31D38"/>
    <w:rsid w:val="00E322B4"/>
    <w:rsid w:val="00E32809"/>
    <w:rsid w:val="00E33286"/>
    <w:rsid w:val="00E33313"/>
    <w:rsid w:val="00E333B3"/>
    <w:rsid w:val="00E33AC0"/>
    <w:rsid w:val="00E33C6D"/>
    <w:rsid w:val="00E3434D"/>
    <w:rsid w:val="00E344C2"/>
    <w:rsid w:val="00E3455C"/>
    <w:rsid w:val="00E34667"/>
    <w:rsid w:val="00E348CB"/>
    <w:rsid w:val="00E349AD"/>
    <w:rsid w:val="00E35231"/>
    <w:rsid w:val="00E35487"/>
    <w:rsid w:val="00E3551F"/>
    <w:rsid w:val="00E358E4"/>
    <w:rsid w:val="00E35B4F"/>
    <w:rsid w:val="00E3628A"/>
    <w:rsid w:val="00E366EA"/>
    <w:rsid w:val="00E36993"/>
    <w:rsid w:val="00E36EAE"/>
    <w:rsid w:val="00E36FA0"/>
    <w:rsid w:val="00E37204"/>
    <w:rsid w:val="00E3733A"/>
    <w:rsid w:val="00E3740A"/>
    <w:rsid w:val="00E375B8"/>
    <w:rsid w:val="00E375DB"/>
    <w:rsid w:val="00E37EBE"/>
    <w:rsid w:val="00E37F0A"/>
    <w:rsid w:val="00E405FC"/>
    <w:rsid w:val="00E40944"/>
    <w:rsid w:val="00E40AD0"/>
    <w:rsid w:val="00E40C7E"/>
    <w:rsid w:val="00E40FE5"/>
    <w:rsid w:val="00E410F9"/>
    <w:rsid w:val="00E411CF"/>
    <w:rsid w:val="00E412D0"/>
    <w:rsid w:val="00E41451"/>
    <w:rsid w:val="00E41790"/>
    <w:rsid w:val="00E41BA6"/>
    <w:rsid w:val="00E41C1D"/>
    <w:rsid w:val="00E41D98"/>
    <w:rsid w:val="00E43A34"/>
    <w:rsid w:val="00E44410"/>
    <w:rsid w:val="00E44521"/>
    <w:rsid w:val="00E4487D"/>
    <w:rsid w:val="00E44C0F"/>
    <w:rsid w:val="00E44E59"/>
    <w:rsid w:val="00E44F6B"/>
    <w:rsid w:val="00E45587"/>
    <w:rsid w:val="00E45B1E"/>
    <w:rsid w:val="00E45D0D"/>
    <w:rsid w:val="00E46106"/>
    <w:rsid w:val="00E46F8C"/>
    <w:rsid w:val="00E47364"/>
    <w:rsid w:val="00E47411"/>
    <w:rsid w:val="00E47425"/>
    <w:rsid w:val="00E47668"/>
    <w:rsid w:val="00E47671"/>
    <w:rsid w:val="00E476A2"/>
    <w:rsid w:val="00E47706"/>
    <w:rsid w:val="00E477FE"/>
    <w:rsid w:val="00E47B5B"/>
    <w:rsid w:val="00E47F07"/>
    <w:rsid w:val="00E5025E"/>
    <w:rsid w:val="00E50387"/>
    <w:rsid w:val="00E50495"/>
    <w:rsid w:val="00E50A65"/>
    <w:rsid w:val="00E50D97"/>
    <w:rsid w:val="00E5115B"/>
    <w:rsid w:val="00E51347"/>
    <w:rsid w:val="00E518E9"/>
    <w:rsid w:val="00E51E69"/>
    <w:rsid w:val="00E51F1D"/>
    <w:rsid w:val="00E520BA"/>
    <w:rsid w:val="00E5230A"/>
    <w:rsid w:val="00E526E0"/>
    <w:rsid w:val="00E52A52"/>
    <w:rsid w:val="00E52DAB"/>
    <w:rsid w:val="00E52EE1"/>
    <w:rsid w:val="00E53173"/>
    <w:rsid w:val="00E53AED"/>
    <w:rsid w:val="00E53DFB"/>
    <w:rsid w:val="00E53F19"/>
    <w:rsid w:val="00E54687"/>
    <w:rsid w:val="00E546A3"/>
    <w:rsid w:val="00E54942"/>
    <w:rsid w:val="00E54F4F"/>
    <w:rsid w:val="00E55090"/>
    <w:rsid w:val="00E550A1"/>
    <w:rsid w:val="00E550B3"/>
    <w:rsid w:val="00E5539C"/>
    <w:rsid w:val="00E5561E"/>
    <w:rsid w:val="00E5590F"/>
    <w:rsid w:val="00E559CB"/>
    <w:rsid w:val="00E559D6"/>
    <w:rsid w:val="00E55AC5"/>
    <w:rsid w:val="00E55B81"/>
    <w:rsid w:val="00E55D97"/>
    <w:rsid w:val="00E56043"/>
    <w:rsid w:val="00E56322"/>
    <w:rsid w:val="00E564DD"/>
    <w:rsid w:val="00E56D16"/>
    <w:rsid w:val="00E56DB3"/>
    <w:rsid w:val="00E572BD"/>
    <w:rsid w:val="00E5766A"/>
    <w:rsid w:val="00E57954"/>
    <w:rsid w:val="00E57FC1"/>
    <w:rsid w:val="00E60477"/>
    <w:rsid w:val="00E60982"/>
    <w:rsid w:val="00E609D6"/>
    <w:rsid w:val="00E61191"/>
    <w:rsid w:val="00E61313"/>
    <w:rsid w:val="00E6166A"/>
    <w:rsid w:val="00E6177D"/>
    <w:rsid w:val="00E61A08"/>
    <w:rsid w:val="00E61E71"/>
    <w:rsid w:val="00E62024"/>
    <w:rsid w:val="00E62291"/>
    <w:rsid w:val="00E6249C"/>
    <w:rsid w:val="00E6250C"/>
    <w:rsid w:val="00E62809"/>
    <w:rsid w:val="00E628CB"/>
    <w:rsid w:val="00E62C62"/>
    <w:rsid w:val="00E62DD3"/>
    <w:rsid w:val="00E63277"/>
    <w:rsid w:val="00E63A88"/>
    <w:rsid w:val="00E63AD3"/>
    <w:rsid w:val="00E63D59"/>
    <w:rsid w:val="00E64033"/>
    <w:rsid w:val="00E64354"/>
    <w:rsid w:val="00E6467B"/>
    <w:rsid w:val="00E64868"/>
    <w:rsid w:val="00E64D6D"/>
    <w:rsid w:val="00E65357"/>
    <w:rsid w:val="00E654C1"/>
    <w:rsid w:val="00E65A21"/>
    <w:rsid w:val="00E65AF7"/>
    <w:rsid w:val="00E65D97"/>
    <w:rsid w:val="00E661CB"/>
    <w:rsid w:val="00E662D2"/>
    <w:rsid w:val="00E66432"/>
    <w:rsid w:val="00E66EF9"/>
    <w:rsid w:val="00E66FDD"/>
    <w:rsid w:val="00E67582"/>
    <w:rsid w:val="00E67A6A"/>
    <w:rsid w:val="00E67B82"/>
    <w:rsid w:val="00E67E12"/>
    <w:rsid w:val="00E706B5"/>
    <w:rsid w:val="00E7092F"/>
    <w:rsid w:val="00E709CB"/>
    <w:rsid w:val="00E70A00"/>
    <w:rsid w:val="00E70A57"/>
    <w:rsid w:val="00E70BD2"/>
    <w:rsid w:val="00E70D43"/>
    <w:rsid w:val="00E7100F"/>
    <w:rsid w:val="00E71024"/>
    <w:rsid w:val="00E711D1"/>
    <w:rsid w:val="00E71271"/>
    <w:rsid w:val="00E71756"/>
    <w:rsid w:val="00E720DF"/>
    <w:rsid w:val="00E72419"/>
    <w:rsid w:val="00E724E0"/>
    <w:rsid w:val="00E72A5A"/>
    <w:rsid w:val="00E72E1C"/>
    <w:rsid w:val="00E73354"/>
    <w:rsid w:val="00E7369F"/>
    <w:rsid w:val="00E73A36"/>
    <w:rsid w:val="00E73EDF"/>
    <w:rsid w:val="00E73FB3"/>
    <w:rsid w:val="00E7442D"/>
    <w:rsid w:val="00E747EF"/>
    <w:rsid w:val="00E7480E"/>
    <w:rsid w:val="00E7481A"/>
    <w:rsid w:val="00E74E56"/>
    <w:rsid w:val="00E752BD"/>
    <w:rsid w:val="00E75589"/>
    <w:rsid w:val="00E756C0"/>
    <w:rsid w:val="00E75B5C"/>
    <w:rsid w:val="00E75D1B"/>
    <w:rsid w:val="00E76282"/>
    <w:rsid w:val="00E763AB"/>
    <w:rsid w:val="00E766CF"/>
    <w:rsid w:val="00E768A3"/>
    <w:rsid w:val="00E76ADF"/>
    <w:rsid w:val="00E773CD"/>
    <w:rsid w:val="00E776ED"/>
    <w:rsid w:val="00E7798A"/>
    <w:rsid w:val="00E77B2A"/>
    <w:rsid w:val="00E8049F"/>
    <w:rsid w:val="00E8062E"/>
    <w:rsid w:val="00E80AE8"/>
    <w:rsid w:val="00E80EA0"/>
    <w:rsid w:val="00E8102D"/>
    <w:rsid w:val="00E81203"/>
    <w:rsid w:val="00E81233"/>
    <w:rsid w:val="00E81454"/>
    <w:rsid w:val="00E81641"/>
    <w:rsid w:val="00E81D33"/>
    <w:rsid w:val="00E81D4C"/>
    <w:rsid w:val="00E81E4B"/>
    <w:rsid w:val="00E81EB4"/>
    <w:rsid w:val="00E81F2D"/>
    <w:rsid w:val="00E82177"/>
    <w:rsid w:val="00E82A37"/>
    <w:rsid w:val="00E82A81"/>
    <w:rsid w:val="00E82D00"/>
    <w:rsid w:val="00E83151"/>
    <w:rsid w:val="00E833C9"/>
    <w:rsid w:val="00E83B98"/>
    <w:rsid w:val="00E8412A"/>
    <w:rsid w:val="00E843CC"/>
    <w:rsid w:val="00E8466E"/>
    <w:rsid w:val="00E846EC"/>
    <w:rsid w:val="00E848E6"/>
    <w:rsid w:val="00E84B6B"/>
    <w:rsid w:val="00E84B80"/>
    <w:rsid w:val="00E84BD9"/>
    <w:rsid w:val="00E84DBF"/>
    <w:rsid w:val="00E84DCB"/>
    <w:rsid w:val="00E84F60"/>
    <w:rsid w:val="00E8513C"/>
    <w:rsid w:val="00E854A8"/>
    <w:rsid w:val="00E857B0"/>
    <w:rsid w:val="00E859BA"/>
    <w:rsid w:val="00E85A71"/>
    <w:rsid w:val="00E85B23"/>
    <w:rsid w:val="00E85D75"/>
    <w:rsid w:val="00E863B6"/>
    <w:rsid w:val="00E8649C"/>
    <w:rsid w:val="00E8691C"/>
    <w:rsid w:val="00E86BA0"/>
    <w:rsid w:val="00E8770D"/>
    <w:rsid w:val="00E87E69"/>
    <w:rsid w:val="00E90134"/>
    <w:rsid w:val="00E90917"/>
    <w:rsid w:val="00E9110D"/>
    <w:rsid w:val="00E91546"/>
    <w:rsid w:val="00E91982"/>
    <w:rsid w:val="00E91DD5"/>
    <w:rsid w:val="00E921C1"/>
    <w:rsid w:val="00E92365"/>
    <w:rsid w:val="00E9242D"/>
    <w:rsid w:val="00E92600"/>
    <w:rsid w:val="00E92832"/>
    <w:rsid w:val="00E92854"/>
    <w:rsid w:val="00E92B1C"/>
    <w:rsid w:val="00E92B84"/>
    <w:rsid w:val="00E92CFF"/>
    <w:rsid w:val="00E92E20"/>
    <w:rsid w:val="00E92ED5"/>
    <w:rsid w:val="00E93158"/>
    <w:rsid w:val="00E9321F"/>
    <w:rsid w:val="00E93592"/>
    <w:rsid w:val="00E93723"/>
    <w:rsid w:val="00E93A9D"/>
    <w:rsid w:val="00E93FA3"/>
    <w:rsid w:val="00E943E5"/>
    <w:rsid w:val="00E9443B"/>
    <w:rsid w:val="00E94C0E"/>
    <w:rsid w:val="00E94E9D"/>
    <w:rsid w:val="00E94ED6"/>
    <w:rsid w:val="00E94FDE"/>
    <w:rsid w:val="00E95181"/>
    <w:rsid w:val="00E95E20"/>
    <w:rsid w:val="00E961F9"/>
    <w:rsid w:val="00E964EA"/>
    <w:rsid w:val="00E97151"/>
    <w:rsid w:val="00E9791B"/>
    <w:rsid w:val="00E97AE4"/>
    <w:rsid w:val="00E97C79"/>
    <w:rsid w:val="00E97CF9"/>
    <w:rsid w:val="00E97D73"/>
    <w:rsid w:val="00EA0938"/>
    <w:rsid w:val="00EA0B58"/>
    <w:rsid w:val="00EA0DCF"/>
    <w:rsid w:val="00EA13C9"/>
    <w:rsid w:val="00EA175D"/>
    <w:rsid w:val="00EA17BC"/>
    <w:rsid w:val="00EA1A8A"/>
    <w:rsid w:val="00EA1C0E"/>
    <w:rsid w:val="00EA1CF0"/>
    <w:rsid w:val="00EA1EA8"/>
    <w:rsid w:val="00EA2072"/>
    <w:rsid w:val="00EA2218"/>
    <w:rsid w:val="00EA2863"/>
    <w:rsid w:val="00EA2A52"/>
    <w:rsid w:val="00EA3041"/>
    <w:rsid w:val="00EA31E7"/>
    <w:rsid w:val="00EA33B8"/>
    <w:rsid w:val="00EA3A0E"/>
    <w:rsid w:val="00EA3AAD"/>
    <w:rsid w:val="00EA3D37"/>
    <w:rsid w:val="00EA3E06"/>
    <w:rsid w:val="00EA4165"/>
    <w:rsid w:val="00EA4608"/>
    <w:rsid w:val="00EA4641"/>
    <w:rsid w:val="00EA4878"/>
    <w:rsid w:val="00EA4998"/>
    <w:rsid w:val="00EA4F93"/>
    <w:rsid w:val="00EA5009"/>
    <w:rsid w:val="00EA56A9"/>
    <w:rsid w:val="00EA5D18"/>
    <w:rsid w:val="00EA60C8"/>
    <w:rsid w:val="00EA615F"/>
    <w:rsid w:val="00EA6521"/>
    <w:rsid w:val="00EA6ADE"/>
    <w:rsid w:val="00EA6BA3"/>
    <w:rsid w:val="00EA6E5C"/>
    <w:rsid w:val="00EA7040"/>
    <w:rsid w:val="00EA741A"/>
    <w:rsid w:val="00EA79E3"/>
    <w:rsid w:val="00EB0316"/>
    <w:rsid w:val="00EB03FC"/>
    <w:rsid w:val="00EB050D"/>
    <w:rsid w:val="00EB0AC1"/>
    <w:rsid w:val="00EB0E48"/>
    <w:rsid w:val="00EB10AB"/>
    <w:rsid w:val="00EB22B6"/>
    <w:rsid w:val="00EB23B3"/>
    <w:rsid w:val="00EB2761"/>
    <w:rsid w:val="00EB27E5"/>
    <w:rsid w:val="00EB2A23"/>
    <w:rsid w:val="00EB33AB"/>
    <w:rsid w:val="00EB36E1"/>
    <w:rsid w:val="00EB3832"/>
    <w:rsid w:val="00EB3BE3"/>
    <w:rsid w:val="00EB3CE3"/>
    <w:rsid w:val="00EB417B"/>
    <w:rsid w:val="00EB42D2"/>
    <w:rsid w:val="00EB4743"/>
    <w:rsid w:val="00EB5255"/>
    <w:rsid w:val="00EB5364"/>
    <w:rsid w:val="00EB5398"/>
    <w:rsid w:val="00EB5C47"/>
    <w:rsid w:val="00EB5D42"/>
    <w:rsid w:val="00EB63DA"/>
    <w:rsid w:val="00EB673C"/>
    <w:rsid w:val="00EB67A3"/>
    <w:rsid w:val="00EB68FC"/>
    <w:rsid w:val="00EB6C65"/>
    <w:rsid w:val="00EB6D39"/>
    <w:rsid w:val="00EB71EE"/>
    <w:rsid w:val="00EB71F8"/>
    <w:rsid w:val="00EB736E"/>
    <w:rsid w:val="00EB7419"/>
    <w:rsid w:val="00EB749E"/>
    <w:rsid w:val="00EB754B"/>
    <w:rsid w:val="00EC0050"/>
    <w:rsid w:val="00EC088F"/>
    <w:rsid w:val="00EC0BF6"/>
    <w:rsid w:val="00EC0F0F"/>
    <w:rsid w:val="00EC0F1F"/>
    <w:rsid w:val="00EC1400"/>
    <w:rsid w:val="00EC15DF"/>
    <w:rsid w:val="00EC177D"/>
    <w:rsid w:val="00EC1A47"/>
    <w:rsid w:val="00EC2330"/>
    <w:rsid w:val="00EC2514"/>
    <w:rsid w:val="00EC253A"/>
    <w:rsid w:val="00EC2904"/>
    <w:rsid w:val="00EC2B99"/>
    <w:rsid w:val="00EC2C2F"/>
    <w:rsid w:val="00EC2E5C"/>
    <w:rsid w:val="00EC30AC"/>
    <w:rsid w:val="00EC30C2"/>
    <w:rsid w:val="00EC3353"/>
    <w:rsid w:val="00EC3501"/>
    <w:rsid w:val="00EC3A2B"/>
    <w:rsid w:val="00EC4A94"/>
    <w:rsid w:val="00EC4C2B"/>
    <w:rsid w:val="00EC4E07"/>
    <w:rsid w:val="00EC4F07"/>
    <w:rsid w:val="00EC54C9"/>
    <w:rsid w:val="00EC6183"/>
    <w:rsid w:val="00EC63F3"/>
    <w:rsid w:val="00EC671F"/>
    <w:rsid w:val="00EC67AC"/>
    <w:rsid w:val="00EC7A58"/>
    <w:rsid w:val="00EC7D51"/>
    <w:rsid w:val="00EC7F63"/>
    <w:rsid w:val="00ED0025"/>
    <w:rsid w:val="00ED0289"/>
    <w:rsid w:val="00ED02C4"/>
    <w:rsid w:val="00ED05A7"/>
    <w:rsid w:val="00ED0639"/>
    <w:rsid w:val="00ED075E"/>
    <w:rsid w:val="00ED0AD3"/>
    <w:rsid w:val="00ED0CED"/>
    <w:rsid w:val="00ED134A"/>
    <w:rsid w:val="00ED1357"/>
    <w:rsid w:val="00ED17F1"/>
    <w:rsid w:val="00ED191E"/>
    <w:rsid w:val="00ED1C3C"/>
    <w:rsid w:val="00ED1CE4"/>
    <w:rsid w:val="00ED243F"/>
    <w:rsid w:val="00ED2BD4"/>
    <w:rsid w:val="00ED2C8E"/>
    <w:rsid w:val="00ED2D70"/>
    <w:rsid w:val="00ED30A8"/>
    <w:rsid w:val="00ED33D1"/>
    <w:rsid w:val="00ED34EF"/>
    <w:rsid w:val="00ED3565"/>
    <w:rsid w:val="00ED3731"/>
    <w:rsid w:val="00ED37AA"/>
    <w:rsid w:val="00ED3C68"/>
    <w:rsid w:val="00ED3E2C"/>
    <w:rsid w:val="00ED3E32"/>
    <w:rsid w:val="00ED42AC"/>
    <w:rsid w:val="00ED43CB"/>
    <w:rsid w:val="00ED4490"/>
    <w:rsid w:val="00ED4621"/>
    <w:rsid w:val="00ED4E9D"/>
    <w:rsid w:val="00ED5366"/>
    <w:rsid w:val="00ED5620"/>
    <w:rsid w:val="00ED5A1E"/>
    <w:rsid w:val="00ED5E67"/>
    <w:rsid w:val="00ED60C1"/>
    <w:rsid w:val="00ED65C8"/>
    <w:rsid w:val="00ED69A8"/>
    <w:rsid w:val="00ED6E28"/>
    <w:rsid w:val="00ED6FF7"/>
    <w:rsid w:val="00ED7164"/>
    <w:rsid w:val="00ED75DD"/>
    <w:rsid w:val="00ED7628"/>
    <w:rsid w:val="00ED7A74"/>
    <w:rsid w:val="00ED7B11"/>
    <w:rsid w:val="00ED7D4E"/>
    <w:rsid w:val="00EE033B"/>
    <w:rsid w:val="00EE0CFC"/>
    <w:rsid w:val="00EE16A9"/>
    <w:rsid w:val="00EE1D6E"/>
    <w:rsid w:val="00EE2B46"/>
    <w:rsid w:val="00EE2B79"/>
    <w:rsid w:val="00EE2E9B"/>
    <w:rsid w:val="00EE30F8"/>
    <w:rsid w:val="00EE33B3"/>
    <w:rsid w:val="00EE3914"/>
    <w:rsid w:val="00EE3A2B"/>
    <w:rsid w:val="00EE3E7D"/>
    <w:rsid w:val="00EE4301"/>
    <w:rsid w:val="00EE4759"/>
    <w:rsid w:val="00EE4D66"/>
    <w:rsid w:val="00EE4E50"/>
    <w:rsid w:val="00EE58D3"/>
    <w:rsid w:val="00EE59F3"/>
    <w:rsid w:val="00EE5A9F"/>
    <w:rsid w:val="00EE60EB"/>
    <w:rsid w:val="00EE6838"/>
    <w:rsid w:val="00EE6C29"/>
    <w:rsid w:val="00EE7037"/>
    <w:rsid w:val="00EE711C"/>
    <w:rsid w:val="00EE71D6"/>
    <w:rsid w:val="00EE72AD"/>
    <w:rsid w:val="00EE73AF"/>
    <w:rsid w:val="00EE74CD"/>
    <w:rsid w:val="00EE7766"/>
    <w:rsid w:val="00EF00E4"/>
    <w:rsid w:val="00EF03E2"/>
    <w:rsid w:val="00EF0EB8"/>
    <w:rsid w:val="00EF11EC"/>
    <w:rsid w:val="00EF1498"/>
    <w:rsid w:val="00EF14A1"/>
    <w:rsid w:val="00EF1742"/>
    <w:rsid w:val="00EF1778"/>
    <w:rsid w:val="00EF17C1"/>
    <w:rsid w:val="00EF18D4"/>
    <w:rsid w:val="00EF1F25"/>
    <w:rsid w:val="00EF2001"/>
    <w:rsid w:val="00EF239C"/>
    <w:rsid w:val="00EF23E8"/>
    <w:rsid w:val="00EF2429"/>
    <w:rsid w:val="00EF2594"/>
    <w:rsid w:val="00EF2E9A"/>
    <w:rsid w:val="00EF3A13"/>
    <w:rsid w:val="00EF435E"/>
    <w:rsid w:val="00EF43C7"/>
    <w:rsid w:val="00EF4682"/>
    <w:rsid w:val="00EF46F7"/>
    <w:rsid w:val="00EF4755"/>
    <w:rsid w:val="00EF4A0C"/>
    <w:rsid w:val="00EF4B39"/>
    <w:rsid w:val="00EF4EF5"/>
    <w:rsid w:val="00EF52CA"/>
    <w:rsid w:val="00EF5506"/>
    <w:rsid w:val="00EF5891"/>
    <w:rsid w:val="00EF5970"/>
    <w:rsid w:val="00EF5A04"/>
    <w:rsid w:val="00EF5A55"/>
    <w:rsid w:val="00EF5E68"/>
    <w:rsid w:val="00EF5E7A"/>
    <w:rsid w:val="00EF6221"/>
    <w:rsid w:val="00EF6417"/>
    <w:rsid w:val="00EF673E"/>
    <w:rsid w:val="00EF6DBC"/>
    <w:rsid w:val="00EF6F04"/>
    <w:rsid w:val="00EF7135"/>
    <w:rsid w:val="00EF7285"/>
    <w:rsid w:val="00EF75BF"/>
    <w:rsid w:val="00F00307"/>
    <w:rsid w:val="00F007C8"/>
    <w:rsid w:val="00F00BA9"/>
    <w:rsid w:val="00F00FFE"/>
    <w:rsid w:val="00F010D0"/>
    <w:rsid w:val="00F011CA"/>
    <w:rsid w:val="00F0133D"/>
    <w:rsid w:val="00F014D7"/>
    <w:rsid w:val="00F01A6D"/>
    <w:rsid w:val="00F01C63"/>
    <w:rsid w:val="00F01CC1"/>
    <w:rsid w:val="00F01F90"/>
    <w:rsid w:val="00F027DB"/>
    <w:rsid w:val="00F030CE"/>
    <w:rsid w:val="00F03851"/>
    <w:rsid w:val="00F03915"/>
    <w:rsid w:val="00F03A95"/>
    <w:rsid w:val="00F03B82"/>
    <w:rsid w:val="00F03D83"/>
    <w:rsid w:val="00F04105"/>
    <w:rsid w:val="00F044B7"/>
    <w:rsid w:val="00F04642"/>
    <w:rsid w:val="00F04881"/>
    <w:rsid w:val="00F049FC"/>
    <w:rsid w:val="00F04A89"/>
    <w:rsid w:val="00F04BAD"/>
    <w:rsid w:val="00F04FF4"/>
    <w:rsid w:val="00F05208"/>
    <w:rsid w:val="00F0522B"/>
    <w:rsid w:val="00F05361"/>
    <w:rsid w:val="00F05648"/>
    <w:rsid w:val="00F059D6"/>
    <w:rsid w:val="00F05A17"/>
    <w:rsid w:val="00F05C60"/>
    <w:rsid w:val="00F06088"/>
    <w:rsid w:val="00F0680E"/>
    <w:rsid w:val="00F06B41"/>
    <w:rsid w:val="00F06CB1"/>
    <w:rsid w:val="00F06D68"/>
    <w:rsid w:val="00F06DEB"/>
    <w:rsid w:val="00F07023"/>
    <w:rsid w:val="00F07389"/>
    <w:rsid w:val="00F07445"/>
    <w:rsid w:val="00F078C8"/>
    <w:rsid w:val="00F07E8C"/>
    <w:rsid w:val="00F07F40"/>
    <w:rsid w:val="00F104F0"/>
    <w:rsid w:val="00F10782"/>
    <w:rsid w:val="00F10F00"/>
    <w:rsid w:val="00F11778"/>
    <w:rsid w:val="00F1199D"/>
    <w:rsid w:val="00F11A73"/>
    <w:rsid w:val="00F11D26"/>
    <w:rsid w:val="00F122EF"/>
    <w:rsid w:val="00F1337F"/>
    <w:rsid w:val="00F13AF1"/>
    <w:rsid w:val="00F140C5"/>
    <w:rsid w:val="00F14168"/>
    <w:rsid w:val="00F143B8"/>
    <w:rsid w:val="00F144EE"/>
    <w:rsid w:val="00F14506"/>
    <w:rsid w:val="00F14695"/>
    <w:rsid w:val="00F14789"/>
    <w:rsid w:val="00F148E3"/>
    <w:rsid w:val="00F14A7A"/>
    <w:rsid w:val="00F14B57"/>
    <w:rsid w:val="00F14BDE"/>
    <w:rsid w:val="00F15096"/>
    <w:rsid w:val="00F152ED"/>
    <w:rsid w:val="00F15578"/>
    <w:rsid w:val="00F1669D"/>
    <w:rsid w:val="00F16F58"/>
    <w:rsid w:val="00F17321"/>
    <w:rsid w:val="00F176EA"/>
    <w:rsid w:val="00F201A8"/>
    <w:rsid w:val="00F201AA"/>
    <w:rsid w:val="00F204A4"/>
    <w:rsid w:val="00F20860"/>
    <w:rsid w:val="00F215FF"/>
    <w:rsid w:val="00F217F6"/>
    <w:rsid w:val="00F21D4B"/>
    <w:rsid w:val="00F21FDA"/>
    <w:rsid w:val="00F22985"/>
    <w:rsid w:val="00F22A1B"/>
    <w:rsid w:val="00F22C41"/>
    <w:rsid w:val="00F23BBF"/>
    <w:rsid w:val="00F24A60"/>
    <w:rsid w:val="00F24BB8"/>
    <w:rsid w:val="00F252CA"/>
    <w:rsid w:val="00F254F6"/>
    <w:rsid w:val="00F25998"/>
    <w:rsid w:val="00F25AB4"/>
    <w:rsid w:val="00F26058"/>
    <w:rsid w:val="00F264C1"/>
    <w:rsid w:val="00F269C6"/>
    <w:rsid w:val="00F26A48"/>
    <w:rsid w:val="00F26ACD"/>
    <w:rsid w:val="00F26E6B"/>
    <w:rsid w:val="00F26E81"/>
    <w:rsid w:val="00F26FF9"/>
    <w:rsid w:val="00F27BF3"/>
    <w:rsid w:val="00F27EC4"/>
    <w:rsid w:val="00F27F79"/>
    <w:rsid w:val="00F30ACD"/>
    <w:rsid w:val="00F311C7"/>
    <w:rsid w:val="00F311C9"/>
    <w:rsid w:val="00F314F5"/>
    <w:rsid w:val="00F31848"/>
    <w:rsid w:val="00F319AF"/>
    <w:rsid w:val="00F31BA4"/>
    <w:rsid w:val="00F31C82"/>
    <w:rsid w:val="00F31F41"/>
    <w:rsid w:val="00F31FBF"/>
    <w:rsid w:val="00F32728"/>
    <w:rsid w:val="00F329C9"/>
    <w:rsid w:val="00F3323B"/>
    <w:rsid w:val="00F33453"/>
    <w:rsid w:val="00F33674"/>
    <w:rsid w:val="00F3383E"/>
    <w:rsid w:val="00F339E0"/>
    <w:rsid w:val="00F33DED"/>
    <w:rsid w:val="00F33FF9"/>
    <w:rsid w:val="00F34193"/>
    <w:rsid w:val="00F34236"/>
    <w:rsid w:val="00F345A1"/>
    <w:rsid w:val="00F34847"/>
    <w:rsid w:val="00F34865"/>
    <w:rsid w:val="00F3498C"/>
    <w:rsid w:val="00F34BC4"/>
    <w:rsid w:val="00F35032"/>
    <w:rsid w:val="00F35499"/>
    <w:rsid w:val="00F35A85"/>
    <w:rsid w:val="00F35BF3"/>
    <w:rsid w:val="00F35F68"/>
    <w:rsid w:val="00F363F6"/>
    <w:rsid w:val="00F36C56"/>
    <w:rsid w:val="00F36C69"/>
    <w:rsid w:val="00F36CE7"/>
    <w:rsid w:val="00F37509"/>
    <w:rsid w:val="00F37716"/>
    <w:rsid w:val="00F37AA7"/>
    <w:rsid w:val="00F37ABC"/>
    <w:rsid w:val="00F37C03"/>
    <w:rsid w:val="00F37E34"/>
    <w:rsid w:val="00F4012F"/>
    <w:rsid w:val="00F4013D"/>
    <w:rsid w:val="00F40283"/>
    <w:rsid w:val="00F409F2"/>
    <w:rsid w:val="00F40CF0"/>
    <w:rsid w:val="00F40D5B"/>
    <w:rsid w:val="00F40E98"/>
    <w:rsid w:val="00F41202"/>
    <w:rsid w:val="00F41644"/>
    <w:rsid w:val="00F419B1"/>
    <w:rsid w:val="00F41A82"/>
    <w:rsid w:val="00F41AB0"/>
    <w:rsid w:val="00F42017"/>
    <w:rsid w:val="00F42498"/>
    <w:rsid w:val="00F42549"/>
    <w:rsid w:val="00F42700"/>
    <w:rsid w:val="00F42991"/>
    <w:rsid w:val="00F429D8"/>
    <w:rsid w:val="00F42B1E"/>
    <w:rsid w:val="00F42B48"/>
    <w:rsid w:val="00F42CFA"/>
    <w:rsid w:val="00F433C7"/>
    <w:rsid w:val="00F4370B"/>
    <w:rsid w:val="00F4379F"/>
    <w:rsid w:val="00F43D41"/>
    <w:rsid w:val="00F43D4E"/>
    <w:rsid w:val="00F4405A"/>
    <w:rsid w:val="00F440FA"/>
    <w:rsid w:val="00F44196"/>
    <w:rsid w:val="00F44517"/>
    <w:rsid w:val="00F451A2"/>
    <w:rsid w:val="00F4562B"/>
    <w:rsid w:val="00F45857"/>
    <w:rsid w:val="00F46145"/>
    <w:rsid w:val="00F461F1"/>
    <w:rsid w:val="00F46561"/>
    <w:rsid w:val="00F465A7"/>
    <w:rsid w:val="00F46745"/>
    <w:rsid w:val="00F46F77"/>
    <w:rsid w:val="00F471EB"/>
    <w:rsid w:val="00F478B3"/>
    <w:rsid w:val="00F4792B"/>
    <w:rsid w:val="00F47B06"/>
    <w:rsid w:val="00F47C2A"/>
    <w:rsid w:val="00F5041F"/>
    <w:rsid w:val="00F5055F"/>
    <w:rsid w:val="00F5061E"/>
    <w:rsid w:val="00F507E0"/>
    <w:rsid w:val="00F50831"/>
    <w:rsid w:val="00F50B7C"/>
    <w:rsid w:val="00F50C4F"/>
    <w:rsid w:val="00F51168"/>
    <w:rsid w:val="00F51221"/>
    <w:rsid w:val="00F51A10"/>
    <w:rsid w:val="00F51AC0"/>
    <w:rsid w:val="00F51B93"/>
    <w:rsid w:val="00F51BB1"/>
    <w:rsid w:val="00F51E23"/>
    <w:rsid w:val="00F51F7A"/>
    <w:rsid w:val="00F52114"/>
    <w:rsid w:val="00F52768"/>
    <w:rsid w:val="00F5276A"/>
    <w:rsid w:val="00F527B1"/>
    <w:rsid w:val="00F52909"/>
    <w:rsid w:val="00F52932"/>
    <w:rsid w:val="00F52AAC"/>
    <w:rsid w:val="00F52B29"/>
    <w:rsid w:val="00F52C8D"/>
    <w:rsid w:val="00F52D25"/>
    <w:rsid w:val="00F52F65"/>
    <w:rsid w:val="00F5302D"/>
    <w:rsid w:val="00F53390"/>
    <w:rsid w:val="00F548A0"/>
    <w:rsid w:val="00F548C3"/>
    <w:rsid w:val="00F54917"/>
    <w:rsid w:val="00F54A69"/>
    <w:rsid w:val="00F550E6"/>
    <w:rsid w:val="00F5540C"/>
    <w:rsid w:val="00F5559A"/>
    <w:rsid w:val="00F55BAC"/>
    <w:rsid w:val="00F56522"/>
    <w:rsid w:val="00F5786F"/>
    <w:rsid w:val="00F57915"/>
    <w:rsid w:val="00F57BCF"/>
    <w:rsid w:val="00F57CD8"/>
    <w:rsid w:val="00F57F3C"/>
    <w:rsid w:val="00F57F7B"/>
    <w:rsid w:val="00F60043"/>
    <w:rsid w:val="00F600C3"/>
    <w:rsid w:val="00F6014E"/>
    <w:rsid w:val="00F6019B"/>
    <w:rsid w:val="00F607A0"/>
    <w:rsid w:val="00F60B38"/>
    <w:rsid w:val="00F60BA9"/>
    <w:rsid w:val="00F614A4"/>
    <w:rsid w:val="00F6176F"/>
    <w:rsid w:val="00F61841"/>
    <w:rsid w:val="00F62493"/>
    <w:rsid w:val="00F62A40"/>
    <w:rsid w:val="00F63456"/>
    <w:rsid w:val="00F63E8D"/>
    <w:rsid w:val="00F64ABD"/>
    <w:rsid w:val="00F64D92"/>
    <w:rsid w:val="00F65162"/>
    <w:rsid w:val="00F6577C"/>
    <w:rsid w:val="00F65A30"/>
    <w:rsid w:val="00F65B30"/>
    <w:rsid w:val="00F66B24"/>
    <w:rsid w:val="00F66DB5"/>
    <w:rsid w:val="00F67102"/>
    <w:rsid w:val="00F67466"/>
    <w:rsid w:val="00F6770F"/>
    <w:rsid w:val="00F7018D"/>
    <w:rsid w:val="00F701E1"/>
    <w:rsid w:val="00F70461"/>
    <w:rsid w:val="00F707E2"/>
    <w:rsid w:val="00F70A79"/>
    <w:rsid w:val="00F70B76"/>
    <w:rsid w:val="00F70EA1"/>
    <w:rsid w:val="00F71331"/>
    <w:rsid w:val="00F714D7"/>
    <w:rsid w:val="00F71DA5"/>
    <w:rsid w:val="00F71EA3"/>
    <w:rsid w:val="00F7234B"/>
    <w:rsid w:val="00F72391"/>
    <w:rsid w:val="00F72691"/>
    <w:rsid w:val="00F72C3B"/>
    <w:rsid w:val="00F72E1A"/>
    <w:rsid w:val="00F72E70"/>
    <w:rsid w:val="00F72F45"/>
    <w:rsid w:val="00F730C1"/>
    <w:rsid w:val="00F7367F"/>
    <w:rsid w:val="00F73C6F"/>
    <w:rsid w:val="00F74345"/>
    <w:rsid w:val="00F74455"/>
    <w:rsid w:val="00F74477"/>
    <w:rsid w:val="00F74935"/>
    <w:rsid w:val="00F74D72"/>
    <w:rsid w:val="00F74F52"/>
    <w:rsid w:val="00F75026"/>
    <w:rsid w:val="00F7581D"/>
    <w:rsid w:val="00F75958"/>
    <w:rsid w:val="00F75EBA"/>
    <w:rsid w:val="00F763AC"/>
    <w:rsid w:val="00F76D09"/>
    <w:rsid w:val="00F76E1E"/>
    <w:rsid w:val="00F76E4A"/>
    <w:rsid w:val="00F76E9A"/>
    <w:rsid w:val="00F7722C"/>
    <w:rsid w:val="00F7728C"/>
    <w:rsid w:val="00F77579"/>
    <w:rsid w:val="00F779AB"/>
    <w:rsid w:val="00F77C58"/>
    <w:rsid w:val="00F77FB7"/>
    <w:rsid w:val="00F8024D"/>
    <w:rsid w:val="00F80A0A"/>
    <w:rsid w:val="00F80A58"/>
    <w:rsid w:val="00F80A6C"/>
    <w:rsid w:val="00F80E07"/>
    <w:rsid w:val="00F811E9"/>
    <w:rsid w:val="00F816FF"/>
    <w:rsid w:val="00F8182A"/>
    <w:rsid w:val="00F8184C"/>
    <w:rsid w:val="00F81A58"/>
    <w:rsid w:val="00F82643"/>
    <w:rsid w:val="00F8284B"/>
    <w:rsid w:val="00F82B19"/>
    <w:rsid w:val="00F82BC7"/>
    <w:rsid w:val="00F82CB2"/>
    <w:rsid w:val="00F83495"/>
    <w:rsid w:val="00F836FC"/>
    <w:rsid w:val="00F83733"/>
    <w:rsid w:val="00F83ED1"/>
    <w:rsid w:val="00F843AF"/>
    <w:rsid w:val="00F84492"/>
    <w:rsid w:val="00F84635"/>
    <w:rsid w:val="00F8500B"/>
    <w:rsid w:val="00F8519E"/>
    <w:rsid w:val="00F85AB6"/>
    <w:rsid w:val="00F85D8F"/>
    <w:rsid w:val="00F86067"/>
    <w:rsid w:val="00F8620B"/>
    <w:rsid w:val="00F863E2"/>
    <w:rsid w:val="00F86779"/>
    <w:rsid w:val="00F8686E"/>
    <w:rsid w:val="00F86974"/>
    <w:rsid w:val="00F86EA9"/>
    <w:rsid w:val="00F8743C"/>
    <w:rsid w:val="00F87946"/>
    <w:rsid w:val="00F87F84"/>
    <w:rsid w:val="00F902DF"/>
    <w:rsid w:val="00F90B2F"/>
    <w:rsid w:val="00F90E36"/>
    <w:rsid w:val="00F91DE2"/>
    <w:rsid w:val="00F92072"/>
    <w:rsid w:val="00F9212D"/>
    <w:rsid w:val="00F92732"/>
    <w:rsid w:val="00F92E4D"/>
    <w:rsid w:val="00F930D5"/>
    <w:rsid w:val="00F9325D"/>
    <w:rsid w:val="00F93532"/>
    <w:rsid w:val="00F935C4"/>
    <w:rsid w:val="00F93775"/>
    <w:rsid w:val="00F939D8"/>
    <w:rsid w:val="00F93B20"/>
    <w:rsid w:val="00F93E09"/>
    <w:rsid w:val="00F93FBF"/>
    <w:rsid w:val="00F947EE"/>
    <w:rsid w:val="00F94BC0"/>
    <w:rsid w:val="00F94DB1"/>
    <w:rsid w:val="00F94E41"/>
    <w:rsid w:val="00F959D2"/>
    <w:rsid w:val="00F95B14"/>
    <w:rsid w:val="00F95BD6"/>
    <w:rsid w:val="00F95C6C"/>
    <w:rsid w:val="00F95E5A"/>
    <w:rsid w:val="00F96295"/>
    <w:rsid w:val="00F965DA"/>
    <w:rsid w:val="00F968DE"/>
    <w:rsid w:val="00F96D65"/>
    <w:rsid w:val="00F96F75"/>
    <w:rsid w:val="00F97196"/>
    <w:rsid w:val="00F97401"/>
    <w:rsid w:val="00F97534"/>
    <w:rsid w:val="00FA01CC"/>
    <w:rsid w:val="00FA07D4"/>
    <w:rsid w:val="00FA0B1D"/>
    <w:rsid w:val="00FA0E6A"/>
    <w:rsid w:val="00FA0E70"/>
    <w:rsid w:val="00FA11F7"/>
    <w:rsid w:val="00FA146D"/>
    <w:rsid w:val="00FA18F0"/>
    <w:rsid w:val="00FA1C81"/>
    <w:rsid w:val="00FA214F"/>
    <w:rsid w:val="00FA217F"/>
    <w:rsid w:val="00FA232F"/>
    <w:rsid w:val="00FA252A"/>
    <w:rsid w:val="00FA2640"/>
    <w:rsid w:val="00FA2EE7"/>
    <w:rsid w:val="00FA3629"/>
    <w:rsid w:val="00FA3883"/>
    <w:rsid w:val="00FA406A"/>
    <w:rsid w:val="00FA42D8"/>
    <w:rsid w:val="00FA50D6"/>
    <w:rsid w:val="00FA53CB"/>
    <w:rsid w:val="00FA5769"/>
    <w:rsid w:val="00FA658E"/>
    <w:rsid w:val="00FA69CA"/>
    <w:rsid w:val="00FA70B2"/>
    <w:rsid w:val="00FA7AA5"/>
    <w:rsid w:val="00FB0119"/>
    <w:rsid w:val="00FB038D"/>
    <w:rsid w:val="00FB0799"/>
    <w:rsid w:val="00FB0D81"/>
    <w:rsid w:val="00FB0DF7"/>
    <w:rsid w:val="00FB1545"/>
    <w:rsid w:val="00FB23A5"/>
    <w:rsid w:val="00FB250A"/>
    <w:rsid w:val="00FB289B"/>
    <w:rsid w:val="00FB2CFD"/>
    <w:rsid w:val="00FB30BA"/>
    <w:rsid w:val="00FB311C"/>
    <w:rsid w:val="00FB31ED"/>
    <w:rsid w:val="00FB37CB"/>
    <w:rsid w:val="00FB3953"/>
    <w:rsid w:val="00FB3D57"/>
    <w:rsid w:val="00FB3EDE"/>
    <w:rsid w:val="00FB42D8"/>
    <w:rsid w:val="00FB431E"/>
    <w:rsid w:val="00FB43C0"/>
    <w:rsid w:val="00FB476C"/>
    <w:rsid w:val="00FB47A9"/>
    <w:rsid w:val="00FB47FF"/>
    <w:rsid w:val="00FB503A"/>
    <w:rsid w:val="00FB516C"/>
    <w:rsid w:val="00FB54C5"/>
    <w:rsid w:val="00FB56AD"/>
    <w:rsid w:val="00FB5701"/>
    <w:rsid w:val="00FB58E5"/>
    <w:rsid w:val="00FB5B92"/>
    <w:rsid w:val="00FB5FFE"/>
    <w:rsid w:val="00FB6341"/>
    <w:rsid w:val="00FB67CE"/>
    <w:rsid w:val="00FB6B59"/>
    <w:rsid w:val="00FB6F61"/>
    <w:rsid w:val="00FB709F"/>
    <w:rsid w:val="00FB7105"/>
    <w:rsid w:val="00FB76BB"/>
    <w:rsid w:val="00FB78C9"/>
    <w:rsid w:val="00FC01EE"/>
    <w:rsid w:val="00FC0378"/>
    <w:rsid w:val="00FC06FF"/>
    <w:rsid w:val="00FC0A86"/>
    <w:rsid w:val="00FC0DD2"/>
    <w:rsid w:val="00FC0F04"/>
    <w:rsid w:val="00FC2104"/>
    <w:rsid w:val="00FC23A5"/>
    <w:rsid w:val="00FC23B6"/>
    <w:rsid w:val="00FC2E96"/>
    <w:rsid w:val="00FC2F29"/>
    <w:rsid w:val="00FC31FD"/>
    <w:rsid w:val="00FC3433"/>
    <w:rsid w:val="00FC39DD"/>
    <w:rsid w:val="00FC3DC2"/>
    <w:rsid w:val="00FC3F4C"/>
    <w:rsid w:val="00FC404A"/>
    <w:rsid w:val="00FC409C"/>
    <w:rsid w:val="00FC4B31"/>
    <w:rsid w:val="00FC4D14"/>
    <w:rsid w:val="00FC4F58"/>
    <w:rsid w:val="00FC56C0"/>
    <w:rsid w:val="00FC5B5F"/>
    <w:rsid w:val="00FC5BFB"/>
    <w:rsid w:val="00FC5EB5"/>
    <w:rsid w:val="00FC6648"/>
    <w:rsid w:val="00FC6712"/>
    <w:rsid w:val="00FC6829"/>
    <w:rsid w:val="00FC6844"/>
    <w:rsid w:val="00FC6B61"/>
    <w:rsid w:val="00FC77B2"/>
    <w:rsid w:val="00FC7B3F"/>
    <w:rsid w:val="00FC7D69"/>
    <w:rsid w:val="00FC7E33"/>
    <w:rsid w:val="00FC7F67"/>
    <w:rsid w:val="00FD0236"/>
    <w:rsid w:val="00FD046C"/>
    <w:rsid w:val="00FD0A50"/>
    <w:rsid w:val="00FD0AD3"/>
    <w:rsid w:val="00FD0ECA"/>
    <w:rsid w:val="00FD0FEF"/>
    <w:rsid w:val="00FD10B4"/>
    <w:rsid w:val="00FD1525"/>
    <w:rsid w:val="00FD15DC"/>
    <w:rsid w:val="00FD18F4"/>
    <w:rsid w:val="00FD1929"/>
    <w:rsid w:val="00FD1D31"/>
    <w:rsid w:val="00FD1FEA"/>
    <w:rsid w:val="00FD2A27"/>
    <w:rsid w:val="00FD2F03"/>
    <w:rsid w:val="00FD3856"/>
    <w:rsid w:val="00FD3AB7"/>
    <w:rsid w:val="00FD3E11"/>
    <w:rsid w:val="00FD41D4"/>
    <w:rsid w:val="00FD4263"/>
    <w:rsid w:val="00FD4488"/>
    <w:rsid w:val="00FD4864"/>
    <w:rsid w:val="00FD4903"/>
    <w:rsid w:val="00FD4E11"/>
    <w:rsid w:val="00FD509B"/>
    <w:rsid w:val="00FD52FF"/>
    <w:rsid w:val="00FD5486"/>
    <w:rsid w:val="00FD54DB"/>
    <w:rsid w:val="00FD5917"/>
    <w:rsid w:val="00FD5974"/>
    <w:rsid w:val="00FD5D20"/>
    <w:rsid w:val="00FD619F"/>
    <w:rsid w:val="00FD6654"/>
    <w:rsid w:val="00FD6678"/>
    <w:rsid w:val="00FD696F"/>
    <w:rsid w:val="00FD6AA2"/>
    <w:rsid w:val="00FD6B33"/>
    <w:rsid w:val="00FD6DF9"/>
    <w:rsid w:val="00FD714F"/>
    <w:rsid w:val="00FD7659"/>
    <w:rsid w:val="00FD7982"/>
    <w:rsid w:val="00FE052F"/>
    <w:rsid w:val="00FE0A92"/>
    <w:rsid w:val="00FE0FF0"/>
    <w:rsid w:val="00FE14BA"/>
    <w:rsid w:val="00FE170E"/>
    <w:rsid w:val="00FE17D4"/>
    <w:rsid w:val="00FE21DD"/>
    <w:rsid w:val="00FE239B"/>
    <w:rsid w:val="00FE23D8"/>
    <w:rsid w:val="00FE248D"/>
    <w:rsid w:val="00FE2900"/>
    <w:rsid w:val="00FE2AF6"/>
    <w:rsid w:val="00FE2F92"/>
    <w:rsid w:val="00FE301A"/>
    <w:rsid w:val="00FE3368"/>
    <w:rsid w:val="00FE3CED"/>
    <w:rsid w:val="00FE3D5A"/>
    <w:rsid w:val="00FE3F3A"/>
    <w:rsid w:val="00FE4680"/>
    <w:rsid w:val="00FE49C8"/>
    <w:rsid w:val="00FE4B00"/>
    <w:rsid w:val="00FE4B55"/>
    <w:rsid w:val="00FE4D55"/>
    <w:rsid w:val="00FE4E72"/>
    <w:rsid w:val="00FE50BC"/>
    <w:rsid w:val="00FE53FE"/>
    <w:rsid w:val="00FE6023"/>
    <w:rsid w:val="00FE62D0"/>
    <w:rsid w:val="00FE65AB"/>
    <w:rsid w:val="00FE688F"/>
    <w:rsid w:val="00FE6D15"/>
    <w:rsid w:val="00FE6D40"/>
    <w:rsid w:val="00FE7390"/>
    <w:rsid w:val="00FE747D"/>
    <w:rsid w:val="00FE7ABB"/>
    <w:rsid w:val="00FE7EB4"/>
    <w:rsid w:val="00FF0781"/>
    <w:rsid w:val="00FF07C5"/>
    <w:rsid w:val="00FF08E6"/>
    <w:rsid w:val="00FF0EE1"/>
    <w:rsid w:val="00FF14B3"/>
    <w:rsid w:val="00FF209F"/>
    <w:rsid w:val="00FF25D4"/>
    <w:rsid w:val="00FF27E0"/>
    <w:rsid w:val="00FF29B5"/>
    <w:rsid w:val="00FF34FD"/>
    <w:rsid w:val="00FF38B1"/>
    <w:rsid w:val="00FF3CAE"/>
    <w:rsid w:val="00FF3DCA"/>
    <w:rsid w:val="00FF42C9"/>
    <w:rsid w:val="00FF45F8"/>
    <w:rsid w:val="00FF4638"/>
    <w:rsid w:val="00FF463B"/>
    <w:rsid w:val="00FF4B2A"/>
    <w:rsid w:val="00FF50C3"/>
    <w:rsid w:val="00FF5339"/>
    <w:rsid w:val="00FF551C"/>
    <w:rsid w:val="00FF571A"/>
    <w:rsid w:val="00FF5A1D"/>
    <w:rsid w:val="00FF5E92"/>
    <w:rsid w:val="00FF6282"/>
    <w:rsid w:val="00FF66F4"/>
    <w:rsid w:val="00FF70D9"/>
    <w:rsid w:val="00FF719E"/>
    <w:rsid w:val="00FF78D1"/>
    <w:rsid w:val="00FF7B29"/>
    <w:rsid w:val="011C44BE"/>
    <w:rsid w:val="01290F7E"/>
    <w:rsid w:val="01431A4A"/>
    <w:rsid w:val="01460957"/>
    <w:rsid w:val="015D1E09"/>
    <w:rsid w:val="024D3051"/>
    <w:rsid w:val="02697903"/>
    <w:rsid w:val="02740E31"/>
    <w:rsid w:val="02F96569"/>
    <w:rsid w:val="03C570A1"/>
    <w:rsid w:val="03D851CD"/>
    <w:rsid w:val="03EA7B21"/>
    <w:rsid w:val="045F1FB9"/>
    <w:rsid w:val="04CE16E6"/>
    <w:rsid w:val="053578FC"/>
    <w:rsid w:val="057878AF"/>
    <w:rsid w:val="05AC7E06"/>
    <w:rsid w:val="05BB6A5B"/>
    <w:rsid w:val="05F83EAE"/>
    <w:rsid w:val="05FF7EF5"/>
    <w:rsid w:val="060A27A3"/>
    <w:rsid w:val="063E7D85"/>
    <w:rsid w:val="06B75EC8"/>
    <w:rsid w:val="07195190"/>
    <w:rsid w:val="07293586"/>
    <w:rsid w:val="07295285"/>
    <w:rsid w:val="07636392"/>
    <w:rsid w:val="076528B8"/>
    <w:rsid w:val="07770C56"/>
    <w:rsid w:val="07C0638D"/>
    <w:rsid w:val="07EF0D4A"/>
    <w:rsid w:val="086215E5"/>
    <w:rsid w:val="08C20CCF"/>
    <w:rsid w:val="08CF04FC"/>
    <w:rsid w:val="0916003C"/>
    <w:rsid w:val="0916240E"/>
    <w:rsid w:val="092217DD"/>
    <w:rsid w:val="09234195"/>
    <w:rsid w:val="093A7294"/>
    <w:rsid w:val="096B0965"/>
    <w:rsid w:val="09953B82"/>
    <w:rsid w:val="0A1840DB"/>
    <w:rsid w:val="0A263993"/>
    <w:rsid w:val="0A2D3AC2"/>
    <w:rsid w:val="0A680259"/>
    <w:rsid w:val="0AA755DF"/>
    <w:rsid w:val="0ACD6338"/>
    <w:rsid w:val="0B120D44"/>
    <w:rsid w:val="0B156103"/>
    <w:rsid w:val="0BD27BF6"/>
    <w:rsid w:val="0BF75A87"/>
    <w:rsid w:val="0C3B3C7D"/>
    <w:rsid w:val="0CAB2EAE"/>
    <w:rsid w:val="0CB82567"/>
    <w:rsid w:val="0CBB37DF"/>
    <w:rsid w:val="0D621C7D"/>
    <w:rsid w:val="0D6E57BF"/>
    <w:rsid w:val="0D82490E"/>
    <w:rsid w:val="0DA80E78"/>
    <w:rsid w:val="0E517CEC"/>
    <w:rsid w:val="0E641635"/>
    <w:rsid w:val="0E73034D"/>
    <w:rsid w:val="0EAC0AFF"/>
    <w:rsid w:val="0F002C19"/>
    <w:rsid w:val="0F13775A"/>
    <w:rsid w:val="0F5F45FE"/>
    <w:rsid w:val="0F750222"/>
    <w:rsid w:val="0F870B55"/>
    <w:rsid w:val="0F9A112B"/>
    <w:rsid w:val="0FEA33CD"/>
    <w:rsid w:val="1047243E"/>
    <w:rsid w:val="106D2F64"/>
    <w:rsid w:val="10B63710"/>
    <w:rsid w:val="10C14B2E"/>
    <w:rsid w:val="10C63E0F"/>
    <w:rsid w:val="10F10820"/>
    <w:rsid w:val="110A2865"/>
    <w:rsid w:val="111C2F7A"/>
    <w:rsid w:val="11665CA1"/>
    <w:rsid w:val="11BD2FE3"/>
    <w:rsid w:val="12050913"/>
    <w:rsid w:val="12175A6C"/>
    <w:rsid w:val="128622E3"/>
    <w:rsid w:val="12CE060B"/>
    <w:rsid w:val="12DA3152"/>
    <w:rsid w:val="12FF663A"/>
    <w:rsid w:val="13861519"/>
    <w:rsid w:val="13951726"/>
    <w:rsid w:val="13BA7CC4"/>
    <w:rsid w:val="13BD07C8"/>
    <w:rsid w:val="141467FF"/>
    <w:rsid w:val="14253DF7"/>
    <w:rsid w:val="14396509"/>
    <w:rsid w:val="14617B1E"/>
    <w:rsid w:val="14DD2C3C"/>
    <w:rsid w:val="14F17F0E"/>
    <w:rsid w:val="15147BCC"/>
    <w:rsid w:val="15556A7B"/>
    <w:rsid w:val="1561171B"/>
    <w:rsid w:val="158F5D3D"/>
    <w:rsid w:val="15DB49B2"/>
    <w:rsid w:val="16087E1D"/>
    <w:rsid w:val="161406B3"/>
    <w:rsid w:val="165A18B8"/>
    <w:rsid w:val="16C32308"/>
    <w:rsid w:val="16F0322D"/>
    <w:rsid w:val="171E788A"/>
    <w:rsid w:val="17701D14"/>
    <w:rsid w:val="17735226"/>
    <w:rsid w:val="178406A8"/>
    <w:rsid w:val="17D621B4"/>
    <w:rsid w:val="17DB7497"/>
    <w:rsid w:val="17EE49EA"/>
    <w:rsid w:val="17FC71AC"/>
    <w:rsid w:val="18644AA3"/>
    <w:rsid w:val="189F624C"/>
    <w:rsid w:val="18B2237B"/>
    <w:rsid w:val="19EA4126"/>
    <w:rsid w:val="19FB09F0"/>
    <w:rsid w:val="1A1C66C0"/>
    <w:rsid w:val="1A2E2D21"/>
    <w:rsid w:val="1A341039"/>
    <w:rsid w:val="1A42393B"/>
    <w:rsid w:val="1A6C62E9"/>
    <w:rsid w:val="1A8D3049"/>
    <w:rsid w:val="1A955678"/>
    <w:rsid w:val="1AAD45DE"/>
    <w:rsid w:val="1ACC6B0B"/>
    <w:rsid w:val="1AFD3C4C"/>
    <w:rsid w:val="1B046F80"/>
    <w:rsid w:val="1B3267B5"/>
    <w:rsid w:val="1B40161D"/>
    <w:rsid w:val="1B441859"/>
    <w:rsid w:val="1B590390"/>
    <w:rsid w:val="1B6606B1"/>
    <w:rsid w:val="1BC974C6"/>
    <w:rsid w:val="1C2964D3"/>
    <w:rsid w:val="1C463390"/>
    <w:rsid w:val="1C4C1D0E"/>
    <w:rsid w:val="1C5E7925"/>
    <w:rsid w:val="1CBD7387"/>
    <w:rsid w:val="1CFD070F"/>
    <w:rsid w:val="1D0A56F2"/>
    <w:rsid w:val="1D1C4D34"/>
    <w:rsid w:val="1D5F6196"/>
    <w:rsid w:val="1D6132A5"/>
    <w:rsid w:val="1D8E56D5"/>
    <w:rsid w:val="1E0962D3"/>
    <w:rsid w:val="1E1011E6"/>
    <w:rsid w:val="1E21302E"/>
    <w:rsid w:val="1E2232E8"/>
    <w:rsid w:val="1E7A43DA"/>
    <w:rsid w:val="1E7D0415"/>
    <w:rsid w:val="1E982F7E"/>
    <w:rsid w:val="1EBE2C17"/>
    <w:rsid w:val="1EDF35F8"/>
    <w:rsid w:val="1F51718C"/>
    <w:rsid w:val="1F697E8D"/>
    <w:rsid w:val="1F6D0A63"/>
    <w:rsid w:val="1F9C59FD"/>
    <w:rsid w:val="1FA54DF5"/>
    <w:rsid w:val="1FE7539E"/>
    <w:rsid w:val="20327F0E"/>
    <w:rsid w:val="20537C8B"/>
    <w:rsid w:val="205C00E8"/>
    <w:rsid w:val="20671BE0"/>
    <w:rsid w:val="20963CB8"/>
    <w:rsid w:val="20A81A1B"/>
    <w:rsid w:val="20B07FB6"/>
    <w:rsid w:val="20B646FB"/>
    <w:rsid w:val="20BC17B5"/>
    <w:rsid w:val="20D6663D"/>
    <w:rsid w:val="213B74B1"/>
    <w:rsid w:val="215A2310"/>
    <w:rsid w:val="21DE318A"/>
    <w:rsid w:val="21EF5B80"/>
    <w:rsid w:val="224F2595"/>
    <w:rsid w:val="22576990"/>
    <w:rsid w:val="22992D4E"/>
    <w:rsid w:val="22F47480"/>
    <w:rsid w:val="23021C41"/>
    <w:rsid w:val="230C1198"/>
    <w:rsid w:val="233A5147"/>
    <w:rsid w:val="23DE1C48"/>
    <w:rsid w:val="23FC5BE9"/>
    <w:rsid w:val="240210CD"/>
    <w:rsid w:val="24034DE3"/>
    <w:rsid w:val="24111CD6"/>
    <w:rsid w:val="244628BF"/>
    <w:rsid w:val="244B61EE"/>
    <w:rsid w:val="24BF09F7"/>
    <w:rsid w:val="24D23FAB"/>
    <w:rsid w:val="24E845CB"/>
    <w:rsid w:val="25062FD3"/>
    <w:rsid w:val="25227D59"/>
    <w:rsid w:val="252D53FE"/>
    <w:rsid w:val="25505E9B"/>
    <w:rsid w:val="25563BCC"/>
    <w:rsid w:val="258B0691"/>
    <w:rsid w:val="259B0AA0"/>
    <w:rsid w:val="25A22934"/>
    <w:rsid w:val="25D3614F"/>
    <w:rsid w:val="25EC2D81"/>
    <w:rsid w:val="26031D72"/>
    <w:rsid w:val="262D66A1"/>
    <w:rsid w:val="268F2EB8"/>
    <w:rsid w:val="26AD63BE"/>
    <w:rsid w:val="26B56CE6"/>
    <w:rsid w:val="272403B9"/>
    <w:rsid w:val="272E5CB5"/>
    <w:rsid w:val="277057A2"/>
    <w:rsid w:val="27773728"/>
    <w:rsid w:val="27822A1D"/>
    <w:rsid w:val="27AF6E56"/>
    <w:rsid w:val="27D20685"/>
    <w:rsid w:val="27DD1794"/>
    <w:rsid w:val="27E961E9"/>
    <w:rsid w:val="28091678"/>
    <w:rsid w:val="282E63EA"/>
    <w:rsid w:val="28771A3D"/>
    <w:rsid w:val="2885483F"/>
    <w:rsid w:val="289D324F"/>
    <w:rsid w:val="28A77060"/>
    <w:rsid w:val="28E86F25"/>
    <w:rsid w:val="29206EB8"/>
    <w:rsid w:val="29595666"/>
    <w:rsid w:val="29874881"/>
    <w:rsid w:val="29901CF5"/>
    <w:rsid w:val="29E325E0"/>
    <w:rsid w:val="29EE0F70"/>
    <w:rsid w:val="2A0F42A6"/>
    <w:rsid w:val="2A1B28FE"/>
    <w:rsid w:val="2A452503"/>
    <w:rsid w:val="2AEF3C08"/>
    <w:rsid w:val="2B3A3ADD"/>
    <w:rsid w:val="2BA936A8"/>
    <w:rsid w:val="2C315A5A"/>
    <w:rsid w:val="2C41512C"/>
    <w:rsid w:val="2C4B1C25"/>
    <w:rsid w:val="2C896C39"/>
    <w:rsid w:val="2D681F9D"/>
    <w:rsid w:val="2D846309"/>
    <w:rsid w:val="2D9E56F5"/>
    <w:rsid w:val="2DA15D87"/>
    <w:rsid w:val="2DA41A58"/>
    <w:rsid w:val="2DEF0188"/>
    <w:rsid w:val="2E2C4199"/>
    <w:rsid w:val="2E4C5F5C"/>
    <w:rsid w:val="2E667F96"/>
    <w:rsid w:val="2E7B1F74"/>
    <w:rsid w:val="2E8226AB"/>
    <w:rsid w:val="2ED0001B"/>
    <w:rsid w:val="2F251B8B"/>
    <w:rsid w:val="2F9B42E9"/>
    <w:rsid w:val="2FD065E6"/>
    <w:rsid w:val="2FD96870"/>
    <w:rsid w:val="30072F34"/>
    <w:rsid w:val="30580BC9"/>
    <w:rsid w:val="30AE0FEE"/>
    <w:rsid w:val="30F0736A"/>
    <w:rsid w:val="310E497F"/>
    <w:rsid w:val="3110161F"/>
    <w:rsid w:val="311E2ED7"/>
    <w:rsid w:val="315619EE"/>
    <w:rsid w:val="315C449C"/>
    <w:rsid w:val="31B82709"/>
    <w:rsid w:val="31BD2D4B"/>
    <w:rsid w:val="31D05482"/>
    <w:rsid w:val="31F41ACC"/>
    <w:rsid w:val="31FE7302"/>
    <w:rsid w:val="32132261"/>
    <w:rsid w:val="32381A63"/>
    <w:rsid w:val="32400B34"/>
    <w:rsid w:val="326E02E3"/>
    <w:rsid w:val="327C5608"/>
    <w:rsid w:val="329E6876"/>
    <w:rsid w:val="32E1634C"/>
    <w:rsid w:val="32E809DC"/>
    <w:rsid w:val="333015F2"/>
    <w:rsid w:val="333C00D7"/>
    <w:rsid w:val="333C57C5"/>
    <w:rsid w:val="333F31E3"/>
    <w:rsid w:val="334B6320"/>
    <w:rsid w:val="33575EAE"/>
    <w:rsid w:val="336D72A3"/>
    <w:rsid w:val="3372256B"/>
    <w:rsid w:val="33D934D4"/>
    <w:rsid w:val="33EB5D72"/>
    <w:rsid w:val="33FE2F6A"/>
    <w:rsid w:val="340E07E5"/>
    <w:rsid w:val="341F3C77"/>
    <w:rsid w:val="34235BF7"/>
    <w:rsid w:val="34C75C2A"/>
    <w:rsid w:val="34D01B4D"/>
    <w:rsid w:val="353728DC"/>
    <w:rsid w:val="358C5FA8"/>
    <w:rsid w:val="35A5322A"/>
    <w:rsid w:val="35C15DF1"/>
    <w:rsid w:val="36074A7F"/>
    <w:rsid w:val="363227E0"/>
    <w:rsid w:val="363E204E"/>
    <w:rsid w:val="36923549"/>
    <w:rsid w:val="36973476"/>
    <w:rsid w:val="36B75FBF"/>
    <w:rsid w:val="36BD0C45"/>
    <w:rsid w:val="36D61B84"/>
    <w:rsid w:val="37AE382E"/>
    <w:rsid w:val="37E00298"/>
    <w:rsid w:val="3812634A"/>
    <w:rsid w:val="38215EBD"/>
    <w:rsid w:val="3836588A"/>
    <w:rsid w:val="38541FFA"/>
    <w:rsid w:val="389868A8"/>
    <w:rsid w:val="38B302F9"/>
    <w:rsid w:val="38DB0D0F"/>
    <w:rsid w:val="38F12CD3"/>
    <w:rsid w:val="38F94775"/>
    <w:rsid w:val="392971ED"/>
    <w:rsid w:val="39323A64"/>
    <w:rsid w:val="39325651"/>
    <w:rsid w:val="39853E90"/>
    <w:rsid w:val="39BE034F"/>
    <w:rsid w:val="3A584CAB"/>
    <w:rsid w:val="3A872856"/>
    <w:rsid w:val="3AA756A3"/>
    <w:rsid w:val="3ABD6609"/>
    <w:rsid w:val="3AC45D18"/>
    <w:rsid w:val="3B005D2B"/>
    <w:rsid w:val="3B181D50"/>
    <w:rsid w:val="3B3763D1"/>
    <w:rsid w:val="3B81195F"/>
    <w:rsid w:val="3B886177"/>
    <w:rsid w:val="3BC000C8"/>
    <w:rsid w:val="3BDC1110"/>
    <w:rsid w:val="3BE42FED"/>
    <w:rsid w:val="3C0A28AB"/>
    <w:rsid w:val="3C2F6E1E"/>
    <w:rsid w:val="3C3A6FCB"/>
    <w:rsid w:val="3C4F64BA"/>
    <w:rsid w:val="3C9D6342"/>
    <w:rsid w:val="3CDA245A"/>
    <w:rsid w:val="3CEB4E89"/>
    <w:rsid w:val="3CEF3F4F"/>
    <w:rsid w:val="3D0A10C9"/>
    <w:rsid w:val="3D1E06B7"/>
    <w:rsid w:val="3D867E68"/>
    <w:rsid w:val="3DD70D1B"/>
    <w:rsid w:val="3DDD3904"/>
    <w:rsid w:val="3E0B4374"/>
    <w:rsid w:val="3E251143"/>
    <w:rsid w:val="3E692540"/>
    <w:rsid w:val="3E8E4E80"/>
    <w:rsid w:val="3EDA0523"/>
    <w:rsid w:val="3F641238"/>
    <w:rsid w:val="3F940B52"/>
    <w:rsid w:val="3FE9672C"/>
    <w:rsid w:val="3FEC7F76"/>
    <w:rsid w:val="40776AAF"/>
    <w:rsid w:val="407A6407"/>
    <w:rsid w:val="40814089"/>
    <w:rsid w:val="41002DFB"/>
    <w:rsid w:val="410D24DE"/>
    <w:rsid w:val="412075D8"/>
    <w:rsid w:val="41243B53"/>
    <w:rsid w:val="413E4606"/>
    <w:rsid w:val="41656EE2"/>
    <w:rsid w:val="417B338C"/>
    <w:rsid w:val="418F0830"/>
    <w:rsid w:val="4200449D"/>
    <w:rsid w:val="42094773"/>
    <w:rsid w:val="4220362C"/>
    <w:rsid w:val="42252B69"/>
    <w:rsid w:val="42253045"/>
    <w:rsid w:val="423A3BCC"/>
    <w:rsid w:val="424B3CDF"/>
    <w:rsid w:val="424E57D2"/>
    <w:rsid w:val="42B26C49"/>
    <w:rsid w:val="42C13125"/>
    <w:rsid w:val="42F35A1C"/>
    <w:rsid w:val="42F3606E"/>
    <w:rsid w:val="430C72D2"/>
    <w:rsid w:val="43266DF4"/>
    <w:rsid w:val="4327665B"/>
    <w:rsid w:val="433A6FE6"/>
    <w:rsid w:val="43422306"/>
    <w:rsid w:val="43480868"/>
    <w:rsid w:val="4350713C"/>
    <w:rsid w:val="436653E0"/>
    <w:rsid w:val="43C4431A"/>
    <w:rsid w:val="441E4C7F"/>
    <w:rsid w:val="442A66CE"/>
    <w:rsid w:val="444E32FE"/>
    <w:rsid w:val="444F24AC"/>
    <w:rsid w:val="44973915"/>
    <w:rsid w:val="449748BE"/>
    <w:rsid w:val="44B951CC"/>
    <w:rsid w:val="44CD14E0"/>
    <w:rsid w:val="44EA36EA"/>
    <w:rsid w:val="44F20B0B"/>
    <w:rsid w:val="452301E6"/>
    <w:rsid w:val="452E5F4C"/>
    <w:rsid w:val="45612018"/>
    <w:rsid w:val="458946E9"/>
    <w:rsid w:val="4592229A"/>
    <w:rsid w:val="45A47C0E"/>
    <w:rsid w:val="45B9392A"/>
    <w:rsid w:val="45E50A38"/>
    <w:rsid w:val="461C7752"/>
    <w:rsid w:val="46577FD6"/>
    <w:rsid w:val="465D0E69"/>
    <w:rsid w:val="46623534"/>
    <w:rsid w:val="46BE6775"/>
    <w:rsid w:val="46D955A7"/>
    <w:rsid w:val="46F75535"/>
    <w:rsid w:val="47133957"/>
    <w:rsid w:val="478C04AB"/>
    <w:rsid w:val="47903925"/>
    <w:rsid w:val="47A07E0C"/>
    <w:rsid w:val="47CC6D05"/>
    <w:rsid w:val="483A46A2"/>
    <w:rsid w:val="48662FD0"/>
    <w:rsid w:val="4870272E"/>
    <w:rsid w:val="48A33F0A"/>
    <w:rsid w:val="48C808A1"/>
    <w:rsid w:val="49061144"/>
    <w:rsid w:val="49504A11"/>
    <w:rsid w:val="49DC7715"/>
    <w:rsid w:val="49DF271B"/>
    <w:rsid w:val="4A023139"/>
    <w:rsid w:val="4A7B576F"/>
    <w:rsid w:val="4AC7227A"/>
    <w:rsid w:val="4AD07B58"/>
    <w:rsid w:val="4AF561A9"/>
    <w:rsid w:val="4AFE01B1"/>
    <w:rsid w:val="4B193F90"/>
    <w:rsid w:val="4B471366"/>
    <w:rsid w:val="4B941CBC"/>
    <w:rsid w:val="4B9559A3"/>
    <w:rsid w:val="4B9D4838"/>
    <w:rsid w:val="4BA64FBE"/>
    <w:rsid w:val="4BD74AAB"/>
    <w:rsid w:val="4BDA183C"/>
    <w:rsid w:val="4C3E5E44"/>
    <w:rsid w:val="4C4A0649"/>
    <w:rsid w:val="4C7E5ECA"/>
    <w:rsid w:val="4C876AA5"/>
    <w:rsid w:val="4CB24C66"/>
    <w:rsid w:val="4D0E00FB"/>
    <w:rsid w:val="4D176606"/>
    <w:rsid w:val="4D555126"/>
    <w:rsid w:val="4D5C6108"/>
    <w:rsid w:val="4D727BED"/>
    <w:rsid w:val="4DEC4FB0"/>
    <w:rsid w:val="4DEC7A5E"/>
    <w:rsid w:val="4E075D8A"/>
    <w:rsid w:val="4E712F60"/>
    <w:rsid w:val="4EAC01FC"/>
    <w:rsid w:val="4EC00FAD"/>
    <w:rsid w:val="4EEB33DE"/>
    <w:rsid w:val="4F0764FA"/>
    <w:rsid w:val="4F136A2D"/>
    <w:rsid w:val="4F9843DC"/>
    <w:rsid w:val="4FC62A8C"/>
    <w:rsid w:val="4FD12E2F"/>
    <w:rsid w:val="4FD601FF"/>
    <w:rsid w:val="4FE20F0D"/>
    <w:rsid w:val="4FE51552"/>
    <w:rsid w:val="50027ADE"/>
    <w:rsid w:val="50200C5E"/>
    <w:rsid w:val="50504C4B"/>
    <w:rsid w:val="50592A5B"/>
    <w:rsid w:val="506B1EA9"/>
    <w:rsid w:val="509C6E7C"/>
    <w:rsid w:val="50DE3B76"/>
    <w:rsid w:val="514C765F"/>
    <w:rsid w:val="5162104E"/>
    <w:rsid w:val="52215B91"/>
    <w:rsid w:val="52392A2F"/>
    <w:rsid w:val="52D4367D"/>
    <w:rsid w:val="53002601"/>
    <w:rsid w:val="533E0F56"/>
    <w:rsid w:val="534B31BD"/>
    <w:rsid w:val="53A039CC"/>
    <w:rsid w:val="53A1505A"/>
    <w:rsid w:val="53B42135"/>
    <w:rsid w:val="53DA3036"/>
    <w:rsid w:val="54063E08"/>
    <w:rsid w:val="541045CF"/>
    <w:rsid w:val="543437E8"/>
    <w:rsid w:val="54CA4753"/>
    <w:rsid w:val="54D83ECA"/>
    <w:rsid w:val="54F73313"/>
    <w:rsid w:val="54F80955"/>
    <w:rsid w:val="54FF6E59"/>
    <w:rsid w:val="551845C5"/>
    <w:rsid w:val="55392205"/>
    <w:rsid w:val="555170A7"/>
    <w:rsid w:val="55552BAC"/>
    <w:rsid w:val="555C7C8E"/>
    <w:rsid w:val="557B4103"/>
    <w:rsid w:val="55804F35"/>
    <w:rsid w:val="55851FB8"/>
    <w:rsid w:val="5587536D"/>
    <w:rsid w:val="559B174B"/>
    <w:rsid w:val="55BE6B39"/>
    <w:rsid w:val="55CE0CF4"/>
    <w:rsid w:val="55D70FD3"/>
    <w:rsid w:val="55D81B21"/>
    <w:rsid w:val="56015D27"/>
    <w:rsid w:val="56466840"/>
    <w:rsid w:val="56606110"/>
    <w:rsid w:val="56B22A9C"/>
    <w:rsid w:val="57454E17"/>
    <w:rsid w:val="576D0280"/>
    <w:rsid w:val="576E170E"/>
    <w:rsid w:val="57B72A76"/>
    <w:rsid w:val="57C3426C"/>
    <w:rsid w:val="57CE1F93"/>
    <w:rsid w:val="57FB7479"/>
    <w:rsid w:val="581066D5"/>
    <w:rsid w:val="584E02C4"/>
    <w:rsid w:val="585F24DB"/>
    <w:rsid w:val="5882170D"/>
    <w:rsid w:val="588743D1"/>
    <w:rsid w:val="5887701A"/>
    <w:rsid w:val="588805C6"/>
    <w:rsid w:val="58B247DE"/>
    <w:rsid w:val="59807265"/>
    <w:rsid w:val="59B97F47"/>
    <w:rsid w:val="59C0439F"/>
    <w:rsid w:val="5ABE2233"/>
    <w:rsid w:val="5B322769"/>
    <w:rsid w:val="5B694C04"/>
    <w:rsid w:val="5B7C4A37"/>
    <w:rsid w:val="5B8B4C4D"/>
    <w:rsid w:val="5BDF5D95"/>
    <w:rsid w:val="5BFE7528"/>
    <w:rsid w:val="5C143196"/>
    <w:rsid w:val="5C2E071E"/>
    <w:rsid w:val="5D2D46E7"/>
    <w:rsid w:val="5DDA0478"/>
    <w:rsid w:val="5DF66D9E"/>
    <w:rsid w:val="5E021596"/>
    <w:rsid w:val="5E227B93"/>
    <w:rsid w:val="5E2467F1"/>
    <w:rsid w:val="5E7B7DA5"/>
    <w:rsid w:val="5EAC0211"/>
    <w:rsid w:val="5F1A2B43"/>
    <w:rsid w:val="5FB837BB"/>
    <w:rsid w:val="5FBB157C"/>
    <w:rsid w:val="5FF7367A"/>
    <w:rsid w:val="604943ED"/>
    <w:rsid w:val="60CC405A"/>
    <w:rsid w:val="61054F06"/>
    <w:rsid w:val="61491995"/>
    <w:rsid w:val="61601597"/>
    <w:rsid w:val="61873014"/>
    <w:rsid w:val="61E215D8"/>
    <w:rsid w:val="61F070AB"/>
    <w:rsid w:val="61F51865"/>
    <w:rsid w:val="621253DD"/>
    <w:rsid w:val="621B3775"/>
    <w:rsid w:val="62364782"/>
    <w:rsid w:val="632B4424"/>
    <w:rsid w:val="635B56ED"/>
    <w:rsid w:val="6371162A"/>
    <w:rsid w:val="6373406E"/>
    <w:rsid w:val="6394356A"/>
    <w:rsid w:val="63A46B5F"/>
    <w:rsid w:val="63BE2B9F"/>
    <w:rsid w:val="63C61B2C"/>
    <w:rsid w:val="63D40BE9"/>
    <w:rsid w:val="64102431"/>
    <w:rsid w:val="64A5243A"/>
    <w:rsid w:val="64C31359"/>
    <w:rsid w:val="64F531DE"/>
    <w:rsid w:val="651C55C6"/>
    <w:rsid w:val="65373578"/>
    <w:rsid w:val="654E1C5E"/>
    <w:rsid w:val="6578420B"/>
    <w:rsid w:val="659C4C01"/>
    <w:rsid w:val="65B50FF1"/>
    <w:rsid w:val="65E660B6"/>
    <w:rsid w:val="65FB0304"/>
    <w:rsid w:val="65FC123F"/>
    <w:rsid w:val="65FD140A"/>
    <w:rsid w:val="6642173C"/>
    <w:rsid w:val="668A1BD9"/>
    <w:rsid w:val="671F124A"/>
    <w:rsid w:val="673F5EBD"/>
    <w:rsid w:val="67686B22"/>
    <w:rsid w:val="67706AF4"/>
    <w:rsid w:val="67777829"/>
    <w:rsid w:val="677A33C6"/>
    <w:rsid w:val="67D408FF"/>
    <w:rsid w:val="67E91721"/>
    <w:rsid w:val="680B0CC7"/>
    <w:rsid w:val="681F6961"/>
    <w:rsid w:val="683A640A"/>
    <w:rsid w:val="68440B8B"/>
    <w:rsid w:val="68610A2F"/>
    <w:rsid w:val="68805514"/>
    <w:rsid w:val="68DD2A4C"/>
    <w:rsid w:val="69316E2F"/>
    <w:rsid w:val="694E2071"/>
    <w:rsid w:val="69766163"/>
    <w:rsid w:val="697A3B33"/>
    <w:rsid w:val="69D44760"/>
    <w:rsid w:val="6A520EC7"/>
    <w:rsid w:val="6AB20C09"/>
    <w:rsid w:val="6AF87E20"/>
    <w:rsid w:val="6B322639"/>
    <w:rsid w:val="6B6746B5"/>
    <w:rsid w:val="6BA0531A"/>
    <w:rsid w:val="6BB32C63"/>
    <w:rsid w:val="6BCB30F2"/>
    <w:rsid w:val="6BFE229C"/>
    <w:rsid w:val="6C3D6D6D"/>
    <w:rsid w:val="6C636C38"/>
    <w:rsid w:val="6C856945"/>
    <w:rsid w:val="6CD83902"/>
    <w:rsid w:val="6D3978A6"/>
    <w:rsid w:val="6D5D311C"/>
    <w:rsid w:val="6D5F16AF"/>
    <w:rsid w:val="6D9C03FB"/>
    <w:rsid w:val="6DB34098"/>
    <w:rsid w:val="6DB545B6"/>
    <w:rsid w:val="6DE02FB4"/>
    <w:rsid w:val="6E2F7FA1"/>
    <w:rsid w:val="6E514CED"/>
    <w:rsid w:val="6E604765"/>
    <w:rsid w:val="6EB563D5"/>
    <w:rsid w:val="6ECE3E72"/>
    <w:rsid w:val="6ED92677"/>
    <w:rsid w:val="6EEE7B92"/>
    <w:rsid w:val="6EF23C65"/>
    <w:rsid w:val="6EFA6397"/>
    <w:rsid w:val="6F225983"/>
    <w:rsid w:val="6F37174F"/>
    <w:rsid w:val="6F4348E9"/>
    <w:rsid w:val="6F515A25"/>
    <w:rsid w:val="6F877025"/>
    <w:rsid w:val="6FCC3DDA"/>
    <w:rsid w:val="6FF4471A"/>
    <w:rsid w:val="6FFC5590"/>
    <w:rsid w:val="706D1DD0"/>
    <w:rsid w:val="70856B87"/>
    <w:rsid w:val="70D12B29"/>
    <w:rsid w:val="70D527EE"/>
    <w:rsid w:val="70F8762D"/>
    <w:rsid w:val="70F97E5D"/>
    <w:rsid w:val="7117564E"/>
    <w:rsid w:val="715B5300"/>
    <w:rsid w:val="719945A5"/>
    <w:rsid w:val="71D27F8A"/>
    <w:rsid w:val="72553024"/>
    <w:rsid w:val="729E1041"/>
    <w:rsid w:val="72A06ADB"/>
    <w:rsid w:val="73122968"/>
    <w:rsid w:val="731A1A3A"/>
    <w:rsid w:val="731F5D5E"/>
    <w:rsid w:val="739457C1"/>
    <w:rsid w:val="73C51AD5"/>
    <w:rsid w:val="73F07029"/>
    <w:rsid w:val="73F57CA0"/>
    <w:rsid w:val="73FD3661"/>
    <w:rsid w:val="741E793C"/>
    <w:rsid w:val="745E3944"/>
    <w:rsid w:val="7464774F"/>
    <w:rsid w:val="746C248A"/>
    <w:rsid w:val="74B237FF"/>
    <w:rsid w:val="7552406A"/>
    <w:rsid w:val="75681C5E"/>
    <w:rsid w:val="75826D11"/>
    <w:rsid w:val="75833349"/>
    <w:rsid w:val="75DB77B9"/>
    <w:rsid w:val="7635099D"/>
    <w:rsid w:val="767C2FF0"/>
    <w:rsid w:val="767C5DD8"/>
    <w:rsid w:val="76AF06CB"/>
    <w:rsid w:val="76C0640C"/>
    <w:rsid w:val="76C70A22"/>
    <w:rsid w:val="76F042B0"/>
    <w:rsid w:val="76F902E1"/>
    <w:rsid w:val="77025C02"/>
    <w:rsid w:val="77762421"/>
    <w:rsid w:val="77B56B1F"/>
    <w:rsid w:val="77B71375"/>
    <w:rsid w:val="77CE7F51"/>
    <w:rsid w:val="780F09F4"/>
    <w:rsid w:val="78A90480"/>
    <w:rsid w:val="78D653F6"/>
    <w:rsid w:val="78EC7724"/>
    <w:rsid w:val="79214D73"/>
    <w:rsid w:val="79532625"/>
    <w:rsid w:val="798E74E5"/>
    <w:rsid w:val="79BA504C"/>
    <w:rsid w:val="7A364017"/>
    <w:rsid w:val="7A8265E1"/>
    <w:rsid w:val="7AAE17D9"/>
    <w:rsid w:val="7ABE3A86"/>
    <w:rsid w:val="7AF630F5"/>
    <w:rsid w:val="7AF70326"/>
    <w:rsid w:val="7B161F56"/>
    <w:rsid w:val="7B686D42"/>
    <w:rsid w:val="7B7917EF"/>
    <w:rsid w:val="7B841746"/>
    <w:rsid w:val="7C015A36"/>
    <w:rsid w:val="7C254ACA"/>
    <w:rsid w:val="7C5B3C31"/>
    <w:rsid w:val="7C691D6B"/>
    <w:rsid w:val="7C6C5AC7"/>
    <w:rsid w:val="7C9A471F"/>
    <w:rsid w:val="7CA267FB"/>
    <w:rsid w:val="7CB77993"/>
    <w:rsid w:val="7CC6544B"/>
    <w:rsid w:val="7CD408B2"/>
    <w:rsid w:val="7D0239FF"/>
    <w:rsid w:val="7D455FFE"/>
    <w:rsid w:val="7D5E40CD"/>
    <w:rsid w:val="7D672A38"/>
    <w:rsid w:val="7DC66335"/>
    <w:rsid w:val="7DCD56F2"/>
    <w:rsid w:val="7DD26CE0"/>
    <w:rsid w:val="7DDD22F4"/>
    <w:rsid w:val="7E142BDF"/>
    <w:rsid w:val="7EBD2D39"/>
    <w:rsid w:val="7EC42148"/>
    <w:rsid w:val="7EEA5D00"/>
    <w:rsid w:val="7F001CE7"/>
    <w:rsid w:val="7F290408"/>
    <w:rsid w:val="7F6A5DB8"/>
    <w:rsid w:val="7F932406"/>
    <w:rsid w:val="7FD151F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name="heading 1" w:locked="1"/>
    <w:lsdException w:qFormat="1" w:unhideWhenUsed="0" w:uiPriority="0" w:name="heading 2" w:locked="1"/>
    <w:lsdException w:qFormat="1" w:unhideWhenUsed="0" w:uiPriority="0" w:name="heading 3" w:locked="1"/>
    <w:lsdException w:qFormat="1" w:unhideWhenUsed="0" w:uiPriority="0" w:name="heading 4" w:locked="1"/>
    <w:lsdException w:qFormat="1" w:unhideWhenUsed="0" w:uiPriority="0" w:name="heading 5" w:locked="1"/>
    <w:lsdException w:qFormat="1" w:unhideWhenUsed="0" w:uiPriority="0" w:name="heading 6" w:locked="1"/>
    <w:lsdException w:qFormat="1" w:unhideWhenUsed="0" w:uiPriority="0" w:name="heading 7" w:locked="1"/>
    <w:lsdException w:qFormat="1" w:unhideWhenUsed="0" w:uiPriority="0" w:name="heading 8" w:locked="1"/>
    <w:lsdException w:qFormat="1" w:unhideWhenUsed="0"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nhideWhenUsed="0" w:uiPriority="0" w:name="Normal Indent" w:locked="1"/>
    <w:lsdException w:uiPriority="0" w:name="footnote text" w:locked="1"/>
    <w:lsdException w:qFormat="1" w:unhideWhenUsed="0" w:uiPriority="99" w:name="annotation text"/>
    <w:lsdException w:qFormat="1" w:unhideWhenUsed="0" w:uiPriority="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name="page number" w:locked="1"/>
    <w:lsdException w:uiPriority="0" w:name="endnote reference" w:locked="1"/>
    <w:lsdException w:uiPriority="0" w:name="endnote text" w:locked="1"/>
    <w:lsdException w:unhideWhenUsed="0" w:uiPriority="0" w:name="table of authorities" w:locked="1"/>
    <w:lsdException w:uiPriority="0" w:name="macro" w:locked="1"/>
    <w:lsdException w:uiPriority="0" w:name="toa heading" w:locked="1"/>
    <w:lsdException w:unhideWhenUsed="0" w:uiPriority="0" w:name="List" w:locked="1"/>
    <w:lsdException w:unhideWhenUsed="0" w:uiPriority="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name="Title" w:locked="1"/>
    <w:lsdException w:uiPriority="0" w:name="Closing" w:locked="1"/>
    <w:lsdException w:unhideWhenUsed="0" w:uiPriority="0" w:name="Signature" w:locked="1"/>
    <w:lsdException w:qFormat="1" w:uiPriority="1" w:name="Default Paragraph Font"/>
    <w:lsdException w:qFormat="1" w:unhideWhenUsed="0" w:uiPriority="0" w:name="Body Text"/>
    <w:lsdException w:qFormat="1" w:unhideWhenUsed="0" w:uiPriority="0" w:name="Body Text Indent"/>
    <w:lsdException w:uiPriority="0" w:name="List Continue" w:locked="1"/>
    <w:lsdException w:unhideWhenUsed="0" w:uiPriority="0" w:name="List Continue 2" w:locked="1"/>
    <w:lsdException w:unhideWhenUsed="0" w:uiPriority="0" w:name="List Continue 3" w:locked="1"/>
    <w:lsdException w:unhideWhenUsed="0" w:uiPriority="0" w:name="List Continue 4" w:locked="1"/>
    <w:lsdException w:unhideWhenUsed="0" w:uiPriority="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name="Date"/>
    <w:lsdException w:qFormat="1" w:unhideWhenUsed="0" w:uiPriority="0" w:name="Body Text First Indent" w:locked="1"/>
    <w:lsdException w:qFormat="1" w:unhideWhenUsed="0" w:uiPriority="99" w:semiHidden="0" w:name="Body Text First Indent 2" w:locked="1"/>
    <w:lsdException w:uiPriority="0" w:name="Note Heading" w:locked="1"/>
    <w:lsdException w:unhideWhenUsed="0" w:uiPriority="0" w:name="Body Text 2" w:locked="1"/>
    <w:lsdException w:unhideWhenUsed="0" w:uiPriority="0" w:name="Body Text 3" w:locked="1"/>
    <w:lsdException w:uiPriority="0" w:name="Body Text Indent 2" w:locked="1"/>
    <w:lsdException w:uiPriority="0" w:name="Body Text Indent 3" w:locked="1"/>
    <w:lsdException w:qFormat="1" w:unhideWhenUsed="0" w:uiPriority="99" w:semiHidden="0" w:name="Block Text" w:locked="1"/>
    <w:lsdException w:qFormat="1" w:uiPriority="99" w:semiHidden="0" w:name="Hyperlink" w:locked="1"/>
    <w:lsdException w:uiPriority="0" w:name="FollowedHyperlink" w:locked="1"/>
    <w:lsdException w:unhideWhenUsed="0" w:uiPriority="0" w:name="Strong" w:locked="1"/>
    <w:lsdException w:qFormat="1" w:unhideWhenUsed="0" w:uiPriority="0" w:name="Emphasis" w:locked="1"/>
    <w:lsdException w:uiPriority="0" w:name="Document Map" w:locked="1"/>
    <w:lsdException w:qFormat="1" w:unhideWhenUsed="0" w:uiPriority="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4"/>
    <w:semiHidden/>
    <w:qFormat/>
    <w:locked/>
    <w:uiPriority w:val="0"/>
    <w:pPr>
      <w:keepNext/>
      <w:overflowPunct w:val="0"/>
      <w:jc w:val="center"/>
      <w:outlineLvl w:val="0"/>
    </w:pPr>
    <w:rPr>
      <w:rFonts w:eastAsia="黑体"/>
      <w:b/>
      <w:bCs/>
      <w:color w:val="000000"/>
      <w:kern w:val="44"/>
      <w:sz w:val="30"/>
      <w:szCs w:val="30"/>
    </w:rPr>
  </w:style>
  <w:style w:type="paragraph" w:styleId="3">
    <w:name w:val="heading 2"/>
    <w:basedOn w:val="1"/>
    <w:next w:val="1"/>
    <w:link w:val="105"/>
    <w:semiHidden/>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qFormat/>
    <w:locked/>
    <w:uiPriority w:val="0"/>
    <w:pPr>
      <w:keepNext/>
      <w:keepLines/>
      <w:spacing w:before="260" w:after="260" w:line="413" w:lineRule="auto"/>
      <w:outlineLvl w:val="2"/>
    </w:pPr>
    <w:rPr>
      <w:b/>
      <w:sz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9"/>
    <w:semiHidden/>
    <w:qFormat/>
    <w:uiPriority w:val="99"/>
    <w:pPr>
      <w:jc w:val="left"/>
    </w:pPr>
    <w:rPr>
      <w:kern w:val="0"/>
      <w:sz w:val="24"/>
      <w:szCs w:val="20"/>
    </w:rPr>
  </w:style>
  <w:style w:type="paragraph" w:styleId="6">
    <w:name w:val="Body Text"/>
    <w:basedOn w:val="1"/>
    <w:link w:val="30"/>
    <w:semiHidden/>
    <w:qFormat/>
    <w:uiPriority w:val="0"/>
    <w:pPr>
      <w:widowControl/>
      <w:snapToGrid w:val="0"/>
      <w:spacing w:before="60" w:after="160" w:line="259" w:lineRule="auto"/>
      <w:ind w:right="113"/>
    </w:pPr>
    <w:rPr>
      <w:kern w:val="0"/>
      <w:sz w:val="18"/>
      <w:szCs w:val="20"/>
    </w:rPr>
  </w:style>
  <w:style w:type="paragraph" w:styleId="7">
    <w:name w:val="Body Text Indent"/>
    <w:basedOn w:val="1"/>
    <w:link w:val="31"/>
    <w:semiHidden/>
    <w:qFormat/>
    <w:uiPriority w:val="0"/>
    <w:pPr>
      <w:spacing w:after="120"/>
      <w:ind w:left="420" w:leftChars="200"/>
    </w:pPr>
    <w:rPr>
      <w:kern w:val="0"/>
      <w:sz w:val="24"/>
      <w:szCs w:val="20"/>
    </w:rPr>
  </w:style>
  <w:style w:type="paragraph" w:styleId="8">
    <w:name w:val="Block Text"/>
    <w:basedOn w:val="1"/>
    <w:qFormat/>
    <w:locked/>
    <w:uiPriority w:val="99"/>
    <w:pPr>
      <w:spacing w:line="408" w:lineRule="auto"/>
      <w:ind w:left="-113" w:right="-510" w:firstLine="510"/>
    </w:pPr>
    <w:rPr>
      <w:sz w:val="24"/>
    </w:rPr>
  </w:style>
  <w:style w:type="paragraph" w:styleId="9">
    <w:name w:val="Plain Text"/>
    <w:basedOn w:val="1"/>
    <w:link w:val="32"/>
    <w:semiHidden/>
    <w:qFormat/>
    <w:locked/>
    <w:uiPriority w:val="0"/>
    <w:rPr>
      <w:rFonts w:ascii="宋体" w:hAnsi="Courier New"/>
      <w:szCs w:val="21"/>
    </w:rPr>
  </w:style>
  <w:style w:type="paragraph" w:styleId="10">
    <w:name w:val="Date"/>
    <w:basedOn w:val="1"/>
    <w:next w:val="1"/>
    <w:link w:val="33"/>
    <w:semiHidden/>
    <w:qFormat/>
    <w:uiPriority w:val="0"/>
    <w:pPr>
      <w:ind w:left="100" w:leftChars="2500"/>
    </w:pPr>
    <w:rPr>
      <w:kern w:val="0"/>
      <w:sz w:val="24"/>
      <w:szCs w:val="20"/>
    </w:rPr>
  </w:style>
  <w:style w:type="paragraph" w:styleId="11">
    <w:name w:val="Balloon Text"/>
    <w:basedOn w:val="1"/>
    <w:link w:val="34"/>
    <w:semiHidden/>
    <w:qFormat/>
    <w:uiPriority w:val="0"/>
    <w:rPr>
      <w:kern w:val="0"/>
      <w:sz w:val="18"/>
      <w:szCs w:val="20"/>
    </w:rPr>
  </w:style>
  <w:style w:type="paragraph" w:styleId="12">
    <w:name w:val="footer"/>
    <w:basedOn w:val="1"/>
    <w:link w:val="35"/>
    <w:qFormat/>
    <w:uiPriority w:val="99"/>
    <w:pPr>
      <w:tabs>
        <w:tab w:val="center" w:pos="4153"/>
        <w:tab w:val="right" w:pos="8306"/>
      </w:tabs>
      <w:snapToGrid w:val="0"/>
      <w:jc w:val="left"/>
    </w:pPr>
    <w:rPr>
      <w:kern w:val="0"/>
      <w:sz w:val="18"/>
      <w:szCs w:val="20"/>
    </w:rPr>
  </w:style>
  <w:style w:type="paragraph" w:styleId="13">
    <w:name w:val="header"/>
    <w:basedOn w:val="1"/>
    <w:link w:val="36"/>
    <w:semiHidden/>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Subtitle"/>
    <w:basedOn w:val="1"/>
    <w:next w:val="1"/>
    <w:link w:val="37"/>
    <w:qFormat/>
    <w:locked/>
    <w:uiPriority w:val="0"/>
    <w:pPr>
      <w:spacing w:line="460" w:lineRule="exact"/>
      <w:ind w:firstLine="200" w:firstLineChars="200"/>
      <w:outlineLvl w:val="1"/>
    </w:pPr>
    <w:rPr>
      <w:b/>
      <w:bCs/>
      <w:kern w:val="28"/>
      <w:sz w:val="24"/>
      <w:szCs w:val="32"/>
    </w:rPr>
  </w:style>
  <w:style w:type="paragraph" w:styleId="15">
    <w:name w:val="Normal (Web)"/>
    <w:basedOn w:val="1"/>
    <w:link w:val="38"/>
    <w:qFormat/>
    <w:uiPriority w:val="99"/>
    <w:pPr>
      <w:widowControl/>
      <w:spacing w:before="100" w:beforeAutospacing="1" w:after="100" w:afterAutospacing="1"/>
      <w:jc w:val="left"/>
    </w:pPr>
    <w:rPr>
      <w:rFonts w:ascii="宋体" w:hAnsi="宋体"/>
      <w:kern w:val="0"/>
      <w:sz w:val="24"/>
      <w:szCs w:val="20"/>
    </w:rPr>
  </w:style>
  <w:style w:type="paragraph" w:styleId="16">
    <w:name w:val="Title"/>
    <w:basedOn w:val="1"/>
    <w:next w:val="1"/>
    <w:link w:val="39"/>
    <w:semiHidden/>
    <w:qFormat/>
    <w:locked/>
    <w:uiPriority w:val="0"/>
    <w:pPr>
      <w:spacing w:line="460" w:lineRule="exact"/>
      <w:ind w:firstLine="200" w:firstLineChars="200"/>
    </w:pPr>
    <w:rPr>
      <w:rFonts w:eastAsia="黑体"/>
      <w:bCs/>
      <w:sz w:val="24"/>
      <w:szCs w:val="32"/>
    </w:rPr>
  </w:style>
  <w:style w:type="paragraph" w:styleId="17">
    <w:name w:val="annotation subject"/>
    <w:basedOn w:val="5"/>
    <w:next w:val="5"/>
    <w:link w:val="40"/>
    <w:semiHidden/>
    <w:qFormat/>
    <w:uiPriority w:val="0"/>
    <w:rPr>
      <w:b/>
      <w:kern w:val="2"/>
    </w:rPr>
  </w:style>
  <w:style w:type="paragraph" w:styleId="18">
    <w:name w:val="Body Text First Indent"/>
    <w:basedOn w:val="6"/>
    <w:link w:val="64"/>
    <w:semiHidden/>
    <w:qFormat/>
    <w:locked/>
    <w:uiPriority w:val="0"/>
    <w:pPr>
      <w:widowControl w:val="0"/>
      <w:snapToGrid/>
      <w:spacing w:before="0" w:after="120" w:line="240" w:lineRule="auto"/>
      <w:ind w:right="0" w:firstLine="420" w:firstLineChars="100"/>
    </w:pPr>
    <w:rPr>
      <w:kern w:val="2"/>
      <w:sz w:val="21"/>
      <w:szCs w:val="24"/>
    </w:rPr>
  </w:style>
  <w:style w:type="paragraph" w:styleId="19">
    <w:name w:val="Body Text First Indent 2"/>
    <w:basedOn w:val="7"/>
    <w:qFormat/>
    <w:locked/>
    <w:uiPriority w:val="99"/>
    <w:pPr>
      <w:ind w:firstLine="420" w:firstLineChars="200"/>
    </w:pPr>
  </w:style>
  <w:style w:type="table" w:styleId="21">
    <w:name w:val="Table Grid"/>
    <w:basedOn w:val="2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semiHidden/>
    <w:qFormat/>
    <w:locked/>
    <w:uiPriority w:val="0"/>
  </w:style>
  <w:style w:type="character" w:styleId="24">
    <w:name w:val="Emphasis"/>
    <w:semiHidden/>
    <w:qFormat/>
    <w:locked/>
    <w:uiPriority w:val="0"/>
    <w:rPr>
      <w:i/>
      <w:iCs/>
    </w:rPr>
  </w:style>
  <w:style w:type="character" w:styleId="25">
    <w:name w:val="Hyperlink"/>
    <w:basedOn w:val="22"/>
    <w:unhideWhenUsed/>
    <w:qFormat/>
    <w:locked/>
    <w:uiPriority w:val="99"/>
    <w:rPr>
      <w:color w:val="0000FF"/>
      <w:u w:val="single"/>
    </w:rPr>
  </w:style>
  <w:style w:type="character" w:styleId="26">
    <w:name w:val="annotation reference"/>
    <w:semiHidden/>
    <w:qFormat/>
    <w:uiPriority w:val="0"/>
    <w:rPr>
      <w:sz w:val="21"/>
    </w:rPr>
  </w:style>
  <w:style w:type="character" w:customStyle="1" w:styleId="27">
    <w:name w:val="【正文】 Char"/>
    <w:link w:val="28"/>
    <w:qFormat/>
    <w:locked/>
    <w:uiPriority w:val="0"/>
    <w:rPr>
      <w:kern w:val="2"/>
      <w:sz w:val="24"/>
    </w:rPr>
  </w:style>
  <w:style w:type="paragraph" w:customStyle="1" w:styleId="28">
    <w:name w:val="【正文】"/>
    <w:basedOn w:val="1"/>
    <w:link w:val="27"/>
    <w:qFormat/>
    <w:uiPriority w:val="0"/>
    <w:pPr>
      <w:spacing w:line="460" w:lineRule="exact"/>
      <w:ind w:firstLine="200" w:firstLineChars="200"/>
    </w:pPr>
    <w:rPr>
      <w:sz w:val="24"/>
      <w:szCs w:val="20"/>
    </w:rPr>
  </w:style>
  <w:style w:type="character" w:customStyle="1" w:styleId="29">
    <w:name w:val="批注文字 字符"/>
    <w:link w:val="5"/>
    <w:semiHidden/>
    <w:qFormat/>
    <w:locked/>
    <w:uiPriority w:val="99"/>
    <w:rPr>
      <w:sz w:val="24"/>
    </w:rPr>
  </w:style>
  <w:style w:type="character" w:customStyle="1" w:styleId="30">
    <w:name w:val="正文文本 字符"/>
    <w:link w:val="6"/>
    <w:semiHidden/>
    <w:qFormat/>
    <w:locked/>
    <w:uiPriority w:val="0"/>
    <w:rPr>
      <w:sz w:val="18"/>
    </w:rPr>
  </w:style>
  <w:style w:type="character" w:customStyle="1" w:styleId="31">
    <w:name w:val="正文文本缩进 字符"/>
    <w:link w:val="7"/>
    <w:semiHidden/>
    <w:qFormat/>
    <w:locked/>
    <w:uiPriority w:val="0"/>
    <w:rPr>
      <w:sz w:val="24"/>
    </w:rPr>
  </w:style>
  <w:style w:type="character" w:customStyle="1" w:styleId="32">
    <w:name w:val="纯文本 字符"/>
    <w:link w:val="9"/>
    <w:semiHidden/>
    <w:qFormat/>
    <w:uiPriority w:val="0"/>
    <w:rPr>
      <w:rFonts w:ascii="宋体" w:hAnsi="Courier New"/>
      <w:kern w:val="2"/>
      <w:sz w:val="21"/>
      <w:szCs w:val="21"/>
    </w:rPr>
  </w:style>
  <w:style w:type="character" w:customStyle="1" w:styleId="33">
    <w:name w:val="日期 字符1"/>
    <w:link w:val="10"/>
    <w:semiHidden/>
    <w:qFormat/>
    <w:locked/>
    <w:uiPriority w:val="0"/>
    <w:rPr>
      <w:sz w:val="24"/>
    </w:rPr>
  </w:style>
  <w:style w:type="character" w:customStyle="1" w:styleId="34">
    <w:name w:val="批注框文本 字符"/>
    <w:link w:val="11"/>
    <w:semiHidden/>
    <w:qFormat/>
    <w:locked/>
    <w:uiPriority w:val="0"/>
    <w:rPr>
      <w:rFonts w:ascii="Times New Roman" w:hAnsi="Times New Roman" w:eastAsia="宋体"/>
      <w:sz w:val="18"/>
    </w:rPr>
  </w:style>
  <w:style w:type="character" w:customStyle="1" w:styleId="35">
    <w:name w:val="页脚 字符1"/>
    <w:link w:val="12"/>
    <w:qFormat/>
    <w:locked/>
    <w:uiPriority w:val="99"/>
    <w:rPr>
      <w:sz w:val="18"/>
    </w:rPr>
  </w:style>
  <w:style w:type="character" w:customStyle="1" w:styleId="36">
    <w:name w:val="页眉 字符"/>
    <w:link w:val="13"/>
    <w:semiHidden/>
    <w:qFormat/>
    <w:locked/>
    <w:uiPriority w:val="0"/>
    <w:rPr>
      <w:sz w:val="18"/>
    </w:rPr>
  </w:style>
  <w:style w:type="character" w:customStyle="1" w:styleId="37">
    <w:name w:val="副标题 字符"/>
    <w:link w:val="14"/>
    <w:qFormat/>
    <w:uiPriority w:val="0"/>
    <w:rPr>
      <w:b/>
      <w:bCs/>
      <w:kern w:val="28"/>
      <w:sz w:val="24"/>
      <w:szCs w:val="32"/>
    </w:rPr>
  </w:style>
  <w:style w:type="character" w:customStyle="1" w:styleId="38">
    <w:name w:val="普通(网站) 字符"/>
    <w:link w:val="15"/>
    <w:qFormat/>
    <w:locked/>
    <w:uiPriority w:val="0"/>
    <w:rPr>
      <w:rFonts w:ascii="宋体" w:hAnsi="宋体" w:eastAsia="宋体"/>
      <w:sz w:val="24"/>
    </w:rPr>
  </w:style>
  <w:style w:type="character" w:customStyle="1" w:styleId="39">
    <w:name w:val="标题 字符"/>
    <w:link w:val="16"/>
    <w:semiHidden/>
    <w:qFormat/>
    <w:uiPriority w:val="0"/>
    <w:rPr>
      <w:rFonts w:eastAsia="黑体"/>
      <w:bCs/>
      <w:kern w:val="2"/>
      <w:sz w:val="24"/>
      <w:szCs w:val="32"/>
    </w:rPr>
  </w:style>
  <w:style w:type="character" w:customStyle="1" w:styleId="40">
    <w:name w:val="批注主题 字符"/>
    <w:link w:val="17"/>
    <w:semiHidden/>
    <w:qFormat/>
    <w:locked/>
    <w:uiPriority w:val="0"/>
    <w:rPr>
      <w:rFonts w:ascii="Times New Roman" w:hAnsi="Times New Roman" w:eastAsia="宋体"/>
      <w:b/>
      <w:kern w:val="2"/>
      <w:sz w:val="24"/>
    </w:rPr>
  </w:style>
  <w:style w:type="character" w:customStyle="1" w:styleId="41">
    <w:name w:val="鸿达表格文字 Char"/>
    <w:link w:val="42"/>
    <w:semiHidden/>
    <w:qFormat/>
    <w:uiPriority w:val="0"/>
    <w:rPr>
      <w:sz w:val="21"/>
      <w:szCs w:val="21"/>
    </w:rPr>
  </w:style>
  <w:style w:type="paragraph" w:customStyle="1" w:styleId="42">
    <w:name w:val="鸿达表格文字"/>
    <w:basedOn w:val="1"/>
    <w:link w:val="41"/>
    <w:qFormat/>
    <w:uiPriority w:val="0"/>
    <w:pPr>
      <w:contextualSpacing/>
      <w:jc w:val="center"/>
      <w:textAlignment w:val="baseline"/>
    </w:pPr>
    <w:rPr>
      <w:kern w:val="0"/>
      <w:szCs w:val="21"/>
    </w:rPr>
  </w:style>
  <w:style w:type="character" w:customStyle="1" w:styleId="43">
    <w:name w:val="表格 Char"/>
    <w:link w:val="44"/>
    <w:semiHidden/>
    <w:qFormat/>
    <w:locked/>
    <w:uiPriority w:val="0"/>
    <w:rPr>
      <w:sz w:val="24"/>
    </w:rPr>
  </w:style>
  <w:style w:type="paragraph" w:customStyle="1" w:styleId="44">
    <w:name w:val="表格"/>
    <w:basedOn w:val="1"/>
    <w:next w:val="1"/>
    <w:link w:val="43"/>
    <w:qFormat/>
    <w:uiPriority w:val="0"/>
    <w:pPr>
      <w:adjustRightInd w:val="0"/>
      <w:snapToGrid w:val="0"/>
      <w:spacing w:line="460" w:lineRule="exact"/>
      <w:ind w:firstLine="200" w:firstLineChars="200"/>
    </w:pPr>
    <w:rPr>
      <w:kern w:val="0"/>
      <w:sz w:val="24"/>
      <w:szCs w:val="20"/>
    </w:rPr>
  </w:style>
  <w:style w:type="character" w:customStyle="1" w:styleId="45">
    <w:name w:val="日期 字符"/>
    <w:semiHidden/>
    <w:qFormat/>
    <w:uiPriority w:val="0"/>
    <w:rPr>
      <w:rFonts w:ascii="Times New Roman" w:hAnsi="Times New Roman" w:eastAsia="宋体"/>
      <w:sz w:val="24"/>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段落 Char"/>
    <w:link w:val="48"/>
    <w:semiHidden/>
    <w:qFormat/>
    <w:locked/>
    <w:uiPriority w:val="0"/>
    <w:rPr>
      <w:kern w:val="2"/>
      <w:sz w:val="28"/>
      <w:szCs w:val="24"/>
    </w:rPr>
  </w:style>
  <w:style w:type="paragraph" w:customStyle="1" w:styleId="48">
    <w:name w:val="段落"/>
    <w:basedOn w:val="9"/>
    <w:link w:val="47"/>
    <w:qFormat/>
    <w:uiPriority w:val="0"/>
    <w:pPr>
      <w:spacing w:line="500" w:lineRule="exact"/>
      <w:ind w:firstLine="578"/>
    </w:pPr>
    <w:rPr>
      <w:rFonts w:ascii="Times New Roman" w:hAnsi="Times New Roman"/>
      <w:sz w:val="28"/>
      <w:szCs w:val="24"/>
    </w:rPr>
  </w:style>
  <w:style w:type="character" w:customStyle="1" w:styleId="49">
    <w:name w:val="正文文本 字符1"/>
    <w:semiHidden/>
    <w:qFormat/>
    <w:uiPriority w:val="0"/>
    <w:rPr>
      <w:rFonts w:ascii="Times New Roman" w:hAnsi="Times New Roman" w:eastAsia="宋体"/>
      <w:sz w:val="24"/>
    </w:rPr>
  </w:style>
  <w:style w:type="character" w:customStyle="1" w:styleId="50">
    <w:name w:val="页脚 字符"/>
    <w:qFormat/>
    <w:uiPriority w:val="99"/>
  </w:style>
  <w:style w:type="character" w:customStyle="1" w:styleId="51">
    <w:name w:val="表内 定 Char"/>
    <w:link w:val="52"/>
    <w:semiHidden/>
    <w:qFormat/>
    <w:locked/>
    <w:uiPriority w:val="0"/>
    <w:rPr>
      <w:rFonts w:eastAsia="仿宋"/>
      <w:snapToGrid w:val="0"/>
      <w:color w:val="000000"/>
      <w:szCs w:val="22"/>
    </w:rPr>
  </w:style>
  <w:style w:type="paragraph" w:customStyle="1" w:styleId="52">
    <w:name w:val="表内 定"/>
    <w:basedOn w:val="1"/>
    <w:link w:val="51"/>
    <w:semiHidden/>
    <w:qFormat/>
    <w:uiPriority w:val="0"/>
    <w:pPr>
      <w:snapToGrid w:val="0"/>
      <w:jc w:val="left"/>
    </w:pPr>
    <w:rPr>
      <w:rFonts w:eastAsia="仿宋"/>
      <w:snapToGrid w:val="0"/>
      <w:color w:val="000000"/>
      <w:kern w:val="0"/>
      <w:sz w:val="20"/>
      <w:szCs w:val="22"/>
    </w:rPr>
  </w:style>
  <w:style w:type="paragraph" w:customStyle="1" w:styleId="53">
    <w:name w:val="正文_10"/>
    <w:semiHidden/>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表内"/>
    <w:basedOn w:val="1"/>
    <w:qFormat/>
    <w:uiPriority w:val="99"/>
    <w:pPr>
      <w:framePr w:hSpace="180" w:wrap="around" w:vAnchor="page" w:hAnchor="margin" w:y="1411"/>
      <w:widowControl/>
    </w:pPr>
    <w:rPr>
      <w:rFonts w:ascii="宋体" w:hAnsi="宋体" w:eastAsia="仿宋"/>
      <w:kern w:val="0"/>
      <w:sz w:val="20"/>
      <w:szCs w:val="20"/>
    </w:rPr>
  </w:style>
  <w:style w:type="paragraph" w:customStyle="1" w:styleId="55">
    <w:name w:val="普通(网站)2"/>
    <w:basedOn w:val="1"/>
    <w:semiHidden/>
    <w:qFormat/>
    <w:uiPriority w:val="0"/>
    <w:pPr>
      <w:widowControl/>
      <w:spacing w:before="100" w:beforeAutospacing="1" w:after="100" w:afterAutospacing="1"/>
      <w:jc w:val="left"/>
    </w:pPr>
    <w:rPr>
      <w:rFonts w:ascii="宋体" w:hAnsi="宋体"/>
      <w:sz w:val="24"/>
      <w:szCs w:val="20"/>
    </w:rPr>
  </w:style>
  <w:style w:type="paragraph" w:customStyle="1" w:styleId="56">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57">
    <w:name w:val="报告表表格文字"/>
    <w:basedOn w:val="1"/>
    <w:qFormat/>
    <w:uiPriority w:val="0"/>
    <w:pPr>
      <w:autoSpaceDE w:val="0"/>
      <w:autoSpaceDN w:val="0"/>
      <w:adjustRightInd w:val="0"/>
      <w:snapToGrid w:val="0"/>
      <w:jc w:val="center"/>
    </w:pPr>
    <w:rPr>
      <w:color w:val="000000"/>
      <w:kern w:val="0"/>
      <w:szCs w:val="21"/>
    </w:rPr>
  </w:style>
  <w:style w:type="paragraph" w:customStyle="1" w:styleId="58">
    <w:name w:val="标题 41"/>
    <w:basedOn w:val="1"/>
    <w:qFormat/>
    <w:uiPriority w:val="0"/>
    <w:pPr>
      <w:autoSpaceDE w:val="0"/>
      <w:autoSpaceDN w:val="0"/>
      <w:spacing w:before="100" w:beforeAutospacing="1" w:after="100" w:afterAutospacing="1"/>
      <w:ind w:left="228"/>
      <w:jc w:val="left"/>
      <w:outlineLvl w:val="4"/>
    </w:pPr>
    <w:rPr>
      <w:rFonts w:ascii="宋体" w:hAnsi="宋体" w:cs="宋体"/>
      <w:b/>
      <w:bCs/>
      <w:kern w:val="0"/>
      <w:sz w:val="24"/>
    </w:rPr>
  </w:style>
  <w:style w:type="paragraph" w:customStyle="1" w:styleId="59">
    <w:name w:val="样式1"/>
    <w:basedOn w:val="1"/>
    <w:link w:val="60"/>
    <w:semiHidden/>
    <w:qFormat/>
    <w:uiPriority w:val="0"/>
    <w:pPr>
      <w:jc w:val="left"/>
    </w:pPr>
    <w:rPr>
      <w:rFonts w:eastAsia="仿宋"/>
      <w:snapToGrid w:val="0"/>
      <w:kern w:val="0"/>
      <w:sz w:val="20"/>
      <w:szCs w:val="20"/>
      <w:shd w:val="clear" w:color="auto" w:fill="FFFFFF"/>
    </w:rPr>
  </w:style>
  <w:style w:type="character" w:customStyle="1" w:styleId="60">
    <w:name w:val="样式1 Char"/>
    <w:link w:val="59"/>
    <w:semiHidden/>
    <w:qFormat/>
    <w:uiPriority w:val="0"/>
    <w:rPr>
      <w:rFonts w:eastAsia="仿宋"/>
      <w:snapToGrid w:val="0"/>
    </w:rPr>
  </w:style>
  <w:style w:type="paragraph" w:customStyle="1" w:styleId="61">
    <w:name w:val="报告书表格表头"/>
    <w:basedOn w:val="1"/>
    <w:link w:val="83"/>
    <w:qFormat/>
    <w:uiPriority w:val="0"/>
    <w:pPr>
      <w:adjustRightInd w:val="0"/>
      <w:snapToGrid w:val="0"/>
      <w:spacing w:line="520" w:lineRule="exact"/>
      <w:ind w:firstLine="200" w:firstLineChars="200"/>
    </w:pPr>
    <w:rPr>
      <w:rFonts w:eastAsia="黑体"/>
      <w:color w:val="000000"/>
      <w:sz w:val="24"/>
      <w:szCs w:val="22"/>
    </w:rPr>
  </w:style>
  <w:style w:type="paragraph" w:customStyle="1" w:styleId="62">
    <w:name w:val="表格文字"/>
    <w:basedOn w:val="1"/>
    <w:qFormat/>
    <w:uiPriority w:val="99"/>
    <w:pPr>
      <w:autoSpaceDE w:val="0"/>
      <w:autoSpaceDN w:val="0"/>
      <w:adjustRightInd w:val="0"/>
      <w:snapToGrid w:val="0"/>
      <w:spacing w:line="280" w:lineRule="exact"/>
      <w:textAlignment w:val="bottom"/>
    </w:pPr>
    <w:rPr>
      <w:rFonts w:hAnsi="Arial Narrow"/>
      <w:color w:val="FF0000"/>
      <w:kern w:val="0"/>
    </w:rPr>
  </w:style>
  <w:style w:type="paragraph" w:customStyle="1" w:styleId="63">
    <w:name w:val="Table Paragraph"/>
    <w:basedOn w:val="1"/>
    <w:semiHidden/>
    <w:qFormat/>
    <w:uiPriority w:val="1"/>
    <w:pPr>
      <w:autoSpaceDE w:val="0"/>
      <w:autoSpaceDN w:val="0"/>
      <w:spacing w:line="520" w:lineRule="exact"/>
      <w:ind w:firstLine="480" w:firstLineChars="200"/>
      <w:jc w:val="center"/>
    </w:pPr>
    <w:rPr>
      <w:rFonts w:ascii="宋体" w:hAnsi="宋体" w:cs="宋体"/>
      <w:kern w:val="0"/>
      <w:sz w:val="24"/>
      <w:szCs w:val="22"/>
      <w:lang w:val="zh-CN" w:bidi="zh-CN"/>
    </w:rPr>
  </w:style>
  <w:style w:type="character" w:customStyle="1" w:styleId="64">
    <w:name w:val="正文文本首行缩进 字符"/>
    <w:basedOn w:val="30"/>
    <w:link w:val="18"/>
    <w:semiHidden/>
    <w:qFormat/>
    <w:uiPriority w:val="0"/>
    <w:rPr>
      <w:kern w:val="2"/>
      <w:sz w:val="21"/>
      <w:szCs w:val="24"/>
    </w:rPr>
  </w:style>
  <w:style w:type="paragraph" w:customStyle="1" w:styleId="65">
    <w:name w:val="样式 加粗 居中 行距: 固定值 25 磅"/>
    <w:basedOn w:val="1"/>
    <w:semiHidden/>
    <w:qFormat/>
    <w:uiPriority w:val="0"/>
    <w:pPr>
      <w:spacing w:line="500" w:lineRule="exact"/>
      <w:jc w:val="center"/>
    </w:pPr>
    <w:rPr>
      <w:rFonts w:ascii="Calibri" w:hAnsi="Calibri" w:cs="宋体"/>
      <w:b/>
      <w:bCs/>
      <w:spacing w:val="-4"/>
      <w:sz w:val="24"/>
      <w:szCs w:val="20"/>
    </w:rPr>
  </w:style>
  <w:style w:type="character" w:styleId="66">
    <w:name w:val="Placeholder Text"/>
    <w:basedOn w:val="22"/>
    <w:unhideWhenUsed/>
    <w:qFormat/>
    <w:uiPriority w:val="99"/>
    <w:rPr>
      <w:color w:val="808080"/>
    </w:rPr>
  </w:style>
  <w:style w:type="paragraph" w:customStyle="1" w:styleId="67">
    <w:name w:val="1.表头"/>
    <w:basedOn w:val="61"/>
    <w:next w:val="28"/>
    <w:link w:val="84"/>
    <w:qFormat/>
    <w:uiPriority w:val="0"/>
    <w:pPr>
      <w:numPr>
        <w:ilvl w:val="0"/>
        <w:numId w:val="1"/>
      </w:numPr>
      <w:spacing w:line="460" w:lineRule="exact"/>
      <w:ind w:left="0" w:firstLine="200"/>
    </w:pPr>
    <w:rPr>
      <w:rFonts w:cs="宋体"/>
      <w:szCs w:val="20"/>
    </w:rPr>
  </w:style>
  <w:style w:type="character" w:customStyle="1" w:styleId="68">
    <w:name w:val="纯文本 Char1"/>
    <w:basedOn w:val="22"/>
    <w:semiHidden/>
    <w:qFormat/>
    <w:uiPriority w:val="0"/>
    <w:rPr>
      <w:rFonts w:ascii="宋体" w:hAnsi="Courier New" w:eastAsia="宋体" w:cs="Courier New"/>
      <w:kern w:val="2"/>
      <w:sz w:val="21"/>
      <w:szCs w:val="21"/>
      <w:lang w:val="en-US" w:eastAsia="zh-CN" w:bidi="ar-SA"/>
    </w:rPr>
  </w:style>
  <w:style w:type="paragraph" w:customStyle="1" w:styleId="69">
    <w:name w:val="文本框"/>
    <w:basedOn w:val="1"/>
    <w:qFormat/>
    <w:uiPriority w:val="0"/>
    <w:pPr>
      <w:numPr>
        <w:ilvl w:val="0"/>
        <w:numId w:val="2"/>
      </w:numPr>
      <w:spacing w:line="440" w:lineRule="exact"/>
      <w:ind w:firstLine="200" w:firstLineChars="200"/>
    </w:pPr>
    <w:rPr>
      <w:rFonts w:cs="宋体"/>
      <w:b/>
      <w:sz w:val="28"/>
      <w:szCs w:val="20"/>
    </w:rPr>
  </w:style>
  <w:style w:type="paragraph" w:customStyle="1" w:styleId="70">
    <w:name w:val="列出段落1"/>
    <w:basedOn w:val="1"/>
    <w:qFormat/>
    <w:uiPriority w:val="99"/>
    <w:pPr>
      <w:ind w:firstLine="420" w:firstLineChars="200"/>
    </w:pPr>
    <w:rPr>
      <w:sz w:val="24"/>
    </w:rPr>
  </w:style>
  <w:style w:type="character" w:customStyle="1" w:styleId="71">
    <w:name w:val="fontstyle61"/>
    <w:qFormat/>
    <w:uiPriority w:val="99"/>
    <w:rPr>
      <w:rFonts w:ascii="宋体" w:hAnsi="宋体" w:eastAsia="宋体" w:cs="宋体"/>
      <w:color w:val="000000"/>
      <w:sz w:val="28"/>
      <w:szCs w:val="28"/>
    </w:rPr>
  </w:style>
  <w:style w:type="character" w:customStyle="1" w:styleId="72">
    <w:name w:val="普通(网站) 字符1"/>
    <w:semiHidden/>
    <w:qFormat/>
    <w:locked/>
    <w:uiPriority w:val="0"/>
    <w:rPr>
      <w:rFonts w:ascii="宋体" w:hAnsi="宋体" w:eastAsia="宋体"/>
      <w:sz w:val="24"/>
    </w:rPr>
  </w:style>
  <w:style w:type="character" w:customStyle="1" w:styleId="73">
    <w:name w:val="表格里文字 字符"/>
    <w:link w:val="74"/>
    <w:semiHidden/>
    <w:qFormat/>
    <w:locked/>
    <w:uiPriority w:val="0"/>
    <w:rPr>
      <w:bCs/>
      <w:color w:val="000000"/>
      <w:kern w:val="2"/>
      <w:sz w:val="21"/>
      <w:szCs w:val="21"/>
    </w:rPr>
  </w:style>
  <w:style w:type="paragraph" w:customStyle="1" w:styleId="74">
    <w:name w:val="表格里文字"/>
    <w:basedOn w:val="1"/>
    <w:link w:val="73"/>
    <w:semiHidden/>
    <w:qFormat/>
    <w:uiPriority w:val="0"/>
    <w:pPr>
      <w:adjustRightInd w:val="0"/>
      <w:snapToGrid w:val="0"/>
      <w:jc w:val="center"/>
    </w:pPr>
    <w:rPr>
      <w:bCs/>
      <w:color w:val="000000"/>
      <w:szCs w:val="21"/>
    </w:rPr>
  </w:style>
  <w:style w:type="character" w:customStyle="1" w:styleId="75">
    <w:name w:val="font41"/>
    <w:basedOn w:val="22"/>
    <w:semiHidden/>
    <w:qFormat/>
    <w:uiPriority w:val="0"/>
    <w:rPr>
      <w:rFonts w:hint="eastAsia" w:ascii="宋体" w:hAnsi="宋体" w:eastAsia="宋体" w:cs="宋体"/>
      <w:b/>
      <w:bCs/>
      <w:color w:val="000000"/>
      <w:sz w:val="22"/>
      <w:szCs w:val="22"/>
      <w:u w:val="none"/>
    </w:rPr>
  </w:style>
  <w:style w:type="paragraph" w:customStyle="1" w:styleId="76">
    <w:name w:val="蓝天报告表正文"/>
    <w:basedOn w:val="1"/>
    <w:semiHidden/>
    <w:qFormat/>
    <w:uiPriority w:val="0"/>
    <w:pPr>
      <w:spacing w:line="460" w:lineRule="exact"/>
      <w:ind w:firstLine="200" w:firstLineChars="200"/>
      <w:jc w:val="left"/>
    </w:pPr>
    <w:rPr>
      <w:rFonts w:cs="宋体"/>
      <w:color w:val="000000"/>
      <w:szCs w:val="20"/>
    </w:rPr>
  </w:style>
  <w:style w:type="paragraph" w:customStyle="1" w:styleId="77">
    <w:name w:val="鸿达表加粗"/>
    <w:basedOn w:val="1"/>
    <w:semiHidden/>
    <w:qFormat/>
    <w:uiPriority w:val="0"/>
    <w:pPr>
      <w:jc w:val="center"/>
    </w:pPr>
    <w:rPr>
      <w:rFonts w:cs="宋体"/>
      <w:b/>
      <w:color w:val="000000"/>
      <w:szCs w:val="20"/>
    </w:rPr>
  </w:style>
  <w:style w:type="paragraph" w:customStyle="1" w:styleId="78">
    <w:name w:val="表头、图号"/>
    <w:basedOn w:val="1"/>
    <w:next w:val="1"/>
    <w:semiHidden/>
    <w:qFormat/>
    <w:uiPriority w:val="0"/>
    <w:pPr>
      <w:adjustRightInd w:val="0"/>
      <w:snapToGrid w:val="0"/>
      <w:jc w:val="center"/>
    </w:pPr>
    <w:rPr>
      <w:b/>
      <w:szCs w:val="21"/>
    </w:rPr>
  </w:style>
  <w:style w:type="paragraph" w:customStyle="1" w:styleId="79">
    <w:name w:val="表格内容"/>
    <w:next w:val="1"/>
    <w:qFormat/>
    <w:uiPriority w:val="0"/>
    <w:pPr>
      <w:jc w:val="center"/>
    </w:pPr>
    <w:rPr>
      <w:rFonts w:ascii="Times New Roman" w:hAnsi="Times New Roman" w:eastAsia="宋体" w:cs="宋体"/>
      <w:color w:val="000000"/>
      <w:sz w:val="21"/>
      <w:szCs w:val="21"/>
      <w:lang w:val="en-US" w:eastAsia="zh-CN" w:bidi="ar-SA"/>
    </w:rPr>
  </w:style>
  <w:style w:type="paragraph" w:customStyle="1" w:styleId="8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81">
    <w:name w:val="表格首行文字"/>
    <w:basedOn w:val="67"/>
    <w:link w:val="85"/>
    <w:qFormat/>
    <w:uiPriority w:val="0"/>
    <w:pPr>
      <w:spacing w:line="240" w:lineRule="auto"/>
      <w:ind w:firstLine="0" w:firstLineChars="0"/>
      <w:jc w:val="center"/>
    </w:pPr>
    <w:rPr>
      <w:rFonts w:eastAsia="宋体"/>
      <w:b/>
      <w:sz w:val="21"/>
    </w:rPr>
  </w:style>
  <w:style w:type="paragraph" w:customStyle="1" w:styleId="82">
    <w:name w:val="表格正文"/>
    <w:basedOn w:val="1"/>
    <w:link w:val="87"/>
    <w:qFormat/>
    <w:uiPriority w:val="0"/>
    <w:pPr>
      <w:ind w:firstLine="200" w:firstLineChars="200"/>
    </w:pPr>
    <w:rPr>
      <w:bCs/>
      <w:kern w:val="0"/>
      <w:szCs w:val="20"/>
    </w:rPr>
  </w:style>
  <w:style w:type="character" w:customStyle="1" w:styleId="83">
    <w:name w:val="报告书表格表头 字符"/>
    <w:basedOn w:val="22"/>
    <w:link w:val="61"/>
    <w:semiHidden/>
    <w:qFormat/>
    <w:uiPriority w:val="0"/>
    <w:rPr>
      <w:rFonts w:eastAsia="黑体"/>
      <w:color w:val="000000"/>
      <w:kern w:val="2"/>
      <w:sz w:val="24"/>
      <w:szCs w:val="22"/>
    </w:rPr>
  </w:style>
  <w:style w:type="character" w:customStyle="1" w:styleId="84">
    <w:name w:val="1.表头 字符"/>
    <w:basedOn w:val="83"/>
    <w:link w:val="67"/>
    <w:qFormat/>
    <w:uiPriority w:val="0"/>
    <w:rPr>
      <w:rFonts w:eastAsia="黑体" w:cs="宋体"/>
      <w:color w:val="000000"/>
      <w:kern w:val="2"/>
      <w:sz w:val="24"/>
      <w:szCs w:val="22"/>
    </w:rPr>
  </w:style>
  <w:style w:type="character" w:customStyle="1" w:styleId="85">
    <w:name w:val="表格首行文字 字符"/>
    <w:basedOn w:val="84"/>
    <w:link w:val="81"/>
    <w:qFormat/>
    <w:uiPriority w:val="0"/>
    <w:rPr>
      <w:rFonts w:eastAsia="黑体" w:cs="宋体"/>
      <w:b/>
      <w:color w:val="000000"/>
      <w:kern w:val="2"/>
      <w:sz w:val="21"/>
      <w:szCs w:val="22"/>
    </w:rPr>
  </w:style>
  <w:style w:type="paragraph" w:customStyle="1" w:styleId="86">
    <w:name w:val="2表内居中"/>
    <w:basedOn w:val="82"/>
    <w:link w:val="89"/>
    <w:qFormat/>
    <w:uiPriority w:val="0"/>
    <w:pPr>
      <w:ind w:firstLine="0" w:firstLineChars="0"/>
      <w:jc w:val="center"/>
    </w:pPr>
  </w:style>
  <w:style w:type="character" w:customStyle="1" w:styleId="87">
    <w:name w:val="表格正文 字符"/>
    <w:basedOn w:val="22"/>
    <w:link w:val="82"/>
    <w:qFormat/>
    <w:uiPriority w:val="0"/>
    <w:rPr>
      <w:bCs/>
      <w:sz w:val="21"/>
    </w:rPr>
  </w:style>
  <w:style w:type="paragraph" w:customStyle="1" w:styleId="88">
    <w:name w:val="大标题"/>
    <w:basedOn w:val="15"/>
    <w:link w:val="91"/>
    <w:qFormat/>
    <w:uiPriority w:val="0"/>
    <w:pPr>
      <w:jc w:val="center"/>
      <w:outlineLvl w:val="0"/>
    </w:pPr>
    <w:rPr>
      <w:rFonts w:ascii="Times New Roman" w:hAnsi="Times New Roman" w:eastAsia="黑体"/>
      <w:snapToGrid w:val="0"/>
      <w:color w:val="000000" w:themeColor="text1"/>
      <w:sz w:val="30"/>
      <w:szCs w:val="30"/>
      <w14:textFill>
        <w14:solidFill>
          <w14:schemeClr w14:val="tx1"/>
        </w14:solidFill>
      </w14:textFill>
    </w:rPr>
  </w:style>
  <w:style w:type="character" w:customStyle="1" w:styleId="89">
    <w:name w:val="2表内居中 字符"/>
    <w:basedOn w:val="87"/>
    <w:link w:val="86"/>
    <w:qFormat/>
    <w:uiPriority w:val="0"/>
    <w:rPr>
      <w:sz w:val="21"/>
    </w:rPr>
  </w:style>
  <w:style w:type="paragraph" w:customStyle="1" w:styleId="90">
    <w:name w:val="小标题"/>
    <w:basedOn w:val="15"/>
    <w:link w:val="93"/>
    <w:qFormat/>
    <w:uiPriority w:val="0"/>
    <w:pPr>
      <w:spacing w:before="0" w:beforeAutospacing="0" w:after="0" w:afterAutospacing="0" w:line="460" w:lineRule="exact"/>
      <w:ind w:firstLine="200" w:firstLineChars="200"/>
      <w:outlineLvl w:val="1"/>
    </w:pPr>
    <w:rPr>
      <w:rFonts w:ascii="Times New Roman" w:hAnsi="Times New Roman"/>
      <w:b/>
      <w:bCs/>
      <w:color w:val="000000" w:themeColor="text1"/>
      <w:szCs w:val="24"/>
      <w14:textFill>
        <w14:solidFill>
          <w14:schemeClr w14:val="tx1"/>
        </w14:solidFill>
      </w14:textFill>
    </w:rPr>
  </w:style>
  <w:style w:type="character" w:customStyle="1" w:styleId="91">
    <w:name w:val="大标题 字符"/>
    <w:basedOn w:val="38"/>
    <w:link w:val="88"/>
    <w:qFormat/>
    <w:uiPriority w:val="0"/>
    <w:rPr>
      <w:rFonts w:ascii="宋体" w:hAnsi="宋体" w:eastAsia="黑体"/>
      <w:snapToGrid w:val="0"/>
      <w:color w:val="000000" w:themeColor="text1"/>
      <w:sz w:val="30"/>
      <w:szCs w:val="30"/>
      <w14:textFill>
        <w14:solidFill>
          <w14:schemeClr w14:val="tx1"/>
        </w14:solidFill>
      </w14:textFill>
    </w:rPr>
  </w:style>
  <w:style w:type="paragraph" w:customStyle="1" w:styleId="92">
    <w:name w:val="图示格式"/>
    <w:basedOn w:val="2"/>
    <w:link w:val="95"/>
    <w:qFormat/>
    <w:uiPriority w:val="3"/>
    <w:pPr>
      <w:outlineLvl w:val="9"/>
    </w:pPr>
    <w:rPr>
      <w:b w:val="0"/>
      <w:color w:val="000000" w:themeColor="text1"/>
      <w:kern w:val="2"/>
      <w:sz w:val="24"/>
      <w:szCs w:val="24"/>
      <w14:textFill>
        <w14:solidFill>
          <w14:schemeClr w14:val="tx1"/>
        </w14:solidFill>
      </w14:textFill>
    </w:rPr>
  </w:style>
  <w:style w:type="character" w:customStyle="1" w:styleId="93">
    <w:name w:val="小标题 字符"/>
    <w:basedOn w:val="38"/>
    <w:link w:val="90"/>
    <w:qFormat/>
    <w:uiPriority w:val="0"/>
    <w:rPr>
      <w:rFonts w:ascii="宋体" w:hAnsi="宋体" w:eastAsia="宋体"/>
      <w:b/>
      <w:bCs/>
      <w:color w:val="000000" w:themeColor="text1"/>
      <w:sz w:val="24"/>
      <w:szCs w:val="24"/>
      <w14:textFill>
        <w14:solidFill>
          <w14:schemeClr w14:val="tx1"/>
        </w14:solidFill>
      </w14:textFill>
    </w:rPr>
  </w:style>
  <w:style w:type="character" w:customStyle="1" w:styleId="94">
    <w:name w:val="标题 1 字符"/>
    <w:basedOn w:val="22"/>
    <w:link w:val="2"/>
    <w:semiHidden/>
    <w:qFormat/>
    <w:uiPriority w:val="0"/>
    <w:rPr>
      <w:rFonts w:eastAsia="黑体"/>
      <w:b/>
      <w:bCs/>
      <w:color w:val="000000"/>
      <w:kern w:val="44"/>
      <w:sz w:val="30"/>
      <w:szCs w:val="30"/>
    </w:rPr>
  </w:style>
  <w:style w:type="character" w:customStyle="1" w:styleId="95">
    <w:name w:val="图示格式 字符"/>
    <w:basedOn w:val="94"/>
    <w:link w:val="92"/>
    <w:qFormat/>
    <w:uiPriority w:val="3"/>
    <w:rPr>
      <w:rFonts w:eastAsia="黑体"/>
      <w:b w:val="0"/>
      <w:color w:val="000000" w:themeColor="text1"/>
      <w:kern w:val="2"/>
      <w:sz w:val="24"/>
      <w:szCs w:val="24"/>
      <w14:textFill>
        <w14:solidFill>
          <w14:schemeClr w14:val="tx1"/>
        </w14:solidFill>
      </w14:textFill>
    </w:rPr>
  </w:style>
  <w:style w:type="paragraph" w:customStyle="1" w:styleId="96">
    <w:name w:val="正文2"/>
    <w:semiHidden/>
    <w:qFormat/>
    <w:uiPriority w:val="0"/>
    <w:pPr>
      <w:jc w:val="both"/>
    </w:pPr>
    <w:rPr>
      <w:rFonts w:ascii="Times New Roman" w:hAnsi="Times New Roman" w:eastAsia="宋体" w:cs="Times New Roman"/>
      <w:kern w:val="2"/>
      <w:sz w:val="21"/>
      <w:szCs w:val="21"/>
      <w:lang w:val="en-US" w:eastAsia="zh-CN" w:bidi="ar-SA"/>
    </w:rPr>
  </w:style>
  <w:style w:type="paragraph" w:customStyle="1" w:styleId="97">
    <w:name w:val="1    正文"/>
    <w:basedOn w:val="1"/>
    <w:qFormat/>
    <w:uiPriority w:val="0"/>
    <w:pPr>
      <w:spacing w:line="520" w:lineRule="exact"/>
      <w:ind w:firstLine="200" w:firstLineChars="200"/>
    </w:pPr>
    <w:rPr>
      <w:sz w:val="24"/>
    </w:rPr>
  </w:style>
  <w:style w:type="paragraph" w:customStyle="1" w:styleId="98">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99">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100">
    <w:name w:val="正文5"/>
    <w:qFormat/>
    <w:uiPriority w:val="0"/>
    <w:pPr>
      <w:jc w:val="both"/>
    </w:pPr>
    <w:rPr>
      <w:rFonts w:ascii="Calibri" w:hAnsi="Calibri" w:eastAsia="宋体" w:cs="Calibri"/>
      <w:kern w:val="2"/>
      <w:sz w:val="21"/>
      <w:szCs w:val="21"/>
      <w:lang w:val="en-US" w:eastAsia="zh-CN" w:bidi="ar-SA"/>
    </w:rPr>
  </w:style>
  <w:style w:type="paragraph" w:customStyle="1" w:styleId="101">
    <w:name w:val="正文6"/>
    <w:qFormat/>
    <w:uiPriority w:val="0"/>
    <w:pPr>
      <w:jc w:val="both"/>
    </w:pPr>
    <w:rPr>
      <w:rFonts w:ascii="宋体" w:hAnsi="宋体" w:eastAsia="宋体" w:cs="宋体"/>
      <w:kern w:val="2"/>
      <w:sz w:val="21"/>
      <w:szCs w:val="21"/>
      <w:lang w:val="en-US" w:eastAsia="zh-CN" w:bidi="ar-SA"/>
    </w:rPr>
  </w:style>
  <w:style w:type="paragraph" w:customStyle="1" w:styleId="102">
    <w:name w:val="正文7"/>
    <w:qFormat/>
    <w:uiPriority w:val="0"/>
    <w:pPr>
      <w:jc w:val="both"/>
    </w:pPr>
    <w:rPr>
      <w:rFonts w:ascii="Times New Roman" w:hAnsi="Times New Roman" w:eastAsia="宋体" w:cs="Times New Roman"/>
      <w:kern w:val="2"/>
      <w:sz w:val="21"/>
      <w:szCs w:val="21"/>
      <w:lang w:val="en-US" w:eastAsia="zh-CN" w:bidi="ar-SA"/>
    </w:rPr>
  </w:style>
  <w:style w:type="paragraph" w:customStyle="1" w:styleId="103">
    <w:name w:val="正文8"/>
    <w:qFormat/>
    <w:uiPriority w:val="0"/>
    <w:pPr>
      <w:jc w:val="both"/>
    </w:pPr>
    <w:rPr>
      <w:rFonts w:ascii="Times New Roman" w:hAnsi="Times New Roman" w:eastAsia="宋体" w:cs="Times New Roman"/>
      <w:kern w:val="2"/>
      <w:sz w:val="21"/>
      <w:szCs w:val="21"/>
      <w:lang w:val="en-US" w:eastAsia="zh-CN" w:bidi="ar-SA"/>
    </w:rPr>
  </w:style>
  <w:style w:type="paragraph" w:customStyle="1" w:styleId="104">
    <w:name w:val="正文9"/>
    <w:qFormat/>
    <w:uiPriority w:val="0"/>
    <w:pPr>
      <w:jc w:val="both"/>
    </w:pPr>
    <w:rPr>
      <w:rFonts w:ascii="Times New Roman" w:hAnsi="Times New Roman" w:eastAsia="宋体" w:cs="Times New Roman"/>
      <w:kern w:val="2"/>
      <w:sz w:val="21"/>
      <w:szCs w:val="21"/>
      <w:lang w:val="en-US" w:eastAsia="zh-CN" w:bidi="ar-SA"/>
    </w:rPr>
  </w:style>
  <w:style w:type="character" w:customStyle="1" w:styleId="105">
    <w:name w:val="标题 2 字符"/>
    <w:basedOn w:val="22"/>
    <w:link w:val="3"/>
    <w:semiHidden/>
    <w:qFormat/>
    <w:uiPriority w:val="0"/>
    <w:rPr>
      <w:rFonts w:asciiTheme="majorHAnsi" w:hAnsiTheme="majorHAnsi" w:eastAsiaTheme="majorEastAsia" w:cstheme="majorBidi"/>
      <w:b/>
      <w:bCs/>
      <w:kern w:val="2"/>
      <w:sz w:val="32"/>
      <w:szCs w:val="32"/>
    </w:rPr>
  </w:style>
  <w:style w:type="paragraph" w:customStyle="1" w:styleId="106">
    <w:name w:val="正文10"/>
    <w:qFormat/>
    <w:uiPriority w:val="0"/>
    <w:pPr>
      <w:jc w:val="both"/>
    </w:pPr>
    <w:rPr>
      <w:rFonts w:ascii="Times New Roman" w:hAnsi="Times New Roman" w:eastAsia="宋体" w:cs="Times New Roman"/>
      <w:kern w:val="2"/>
      <w:sz w:val="21"/>
      <w:szCs w:val="21"/>
      <w:lang w:val="en-US" w:eastAsia="zh-CN" w:bidi="ar-SA"/>
    </w:rPr>
  </w:style>
  <w:style w:type="paragraph" w:customStyle="1" w:styleId="107">
    <w:name w:val="正文缩进1"/>
    <w:basedOn w:val="1"/>
    <w:qFormat/>
    <w:uiPriority w:val="0"/>
    <w:rPr>
      <w:sz w:val="28"/>
      <w:szCs w:val="28"/>
    </w:rPr>
  </w:style>
  <w:style w:type="paragraph" w:customStyle="1" w:styleId="108">
    <w:name w:val="正文11"/>
    <w:qFormat/>
    <w:uiPriority w:val="0"/>
    <w:pPr>
      <w:jc w:val="both"/>
    </w:pPr>
    <w:rPr>
      <w:rFonts w:ascii="Times New Roman" w:hAnsi="Times New Roman" w:eastAsia="宋体" w:cs="Times New Roman"/>
      <w:kern w:val="2"/>
      <w:sz w:val="21"/>
      <w:szCs w:val="21"/>
      <w:lang w:val="en-US" w:eastAsia="zh-CN" w:bidi="ar-SA"/>
    </w:rPr>
  </w:style>
  <w:style w:type="paragraph" w:customStyle="1" w:styleId="109">
    <w:name w:val="正文12"/>
    <w:qFormat/>
    <w:uiPriority w:val="0"/>
    <w:pPr>
      <w:jc w:val="both"/>
    </w:pPr>
    <w:rPr>
      <w:rFonts w:ascii="Times New Roman" w:hAnsi="Times New Roman" w:eastAsia="宋体" w:cs="Times New Roman"/>
      <w:kern w:val="2"/>
      <w:sz w:val="21"/>
      <w:szCs w:val="21"/>
      <w:lang w:val="en-US" w:eastAsia="zh-CN" w:bidi="ar-SA"/>
    </w:rPr>
  </w:style>
  <w:style w:type="paragraph" w:customStyle="1" w:styleId="110">
    <w:name w:val="正文13"/>
    <w:qFormat/>
    <w:uiPriority w:val="0"/>
    <w:pPr>
      <w:jc w:val="both"/>
    </w:pPr>
    <w:rPr>
      <w:rFonts w:ascii="Times New Roman" w:hAnsi="Times New Roman" w:eastAsia="宋体" w:cs="Times New Roman"/>
      <w:kern w:val="2"/>
      <w:sz w:val="21"/>
      <w:szCs w:val="21"/>
      <w:lang w:val="en-US" w:eastAsia="zh-CN" w:bidi="ar-SA"/>
    </w:rPr>
  </w:style>
  <w:style w:type="paragraph" w:customStyle="1" w:styleId="111">
    <w:name w:val="标题二"/>
    <w:basedOn w:val="3"/>
    <w:link w:val="112"/>
    <w:qFormat/>
    <w:uiPriority w:val="0"/>
    <w:rPr>
      <w:rFonts w:eastAsia="宋体"/>
      <w:sz w:val="24"/>
    </w:rPr>
  </w:style>
  <w:style w:type="character" w:customStyle="1" w:styleId="112">
    <w:name w:val="标题二 字符"/>
    <w:basedOn w:val="91"/>
    <w:link w:val="111"/>
    <w:qFormat/>
    <w:uiPriority w:val="0"/>
    <w:rPr>
      <w:rFonts w:eastAsia="黑体" w:asciiTheme="majorHAnsi" w:hAnsiTheme="majorHAnsi" w:cstheme="majorBidi"/>
      <w:b/>
      <w:bCs/>
      <w:snapToGrid/>
      <w:color w:val="000000" w:themeColor="text1"/>
      <w:kern w:val="2"/>
      <w:sz w:val="24"/>
      <w:szCs w:val="32"/>
      <w14:textFill>
        <w14:solidFill>
          <w14:schemeClr w14:val="tx1"/>
        </w14:solidFill>
      </w14:textFill>
    </w:rPr>
  </w:style>
  <w:style w:type="paragraph" w:customStyle="1" w:styleId="113">
    <w:name w:val="正文14"/>
    <w:qFormat/>
    <w:uiPriority w:val="0"/>
    <w:pPr>
      <w:jc w:val="both"/>
    </w:pPr>
    <w:rPr>
      <w:rFonts w:ascii="Times New Roman" w:hAnsi="Times New Roman" w:eastAsia="宋体" w:cs="Times New Roman"/>
      <w:kern w:val="2"/>
      <w:sz w:val="21"/>
      <w:szCs w:val="21"/>
      <w:lang w:val="en-US" w:eastAsia="zh-CN" w:bidi="ar-SA"/>
    </w:rPr>
  </w:style>
  <w:style w:type="paragraph" w:customStyle="1" w:styleId="114">
    <w:name w:val="正文15"/>
    <w:qFormat/>
    <w:uiPriority w:val="0"/>
    <w:pPr>
      <w:jc w:val="both"/>
    </w:pPr>
    <w:rPr>
      <w:rFonts w:ascii="Times New Roman" w:hAnsi="Times New Roman" w:eastAsia="宋体" w:cs="Times New Roman"/>
      <w:kern w:val="2"/>
      <w:sz w:val="21"/>
      <w:szCs w:val="21"/>
      <w:lang w:val="en-US" w:eastAsia="zh-CN" w:bidi="ar-SA"/>
    </w:rPr>
  </w:style>
  <w:style w:type="paragraph" w:customStyle="1" w:styleId="115">
    <w:name w:val="正文16"/>
    <w:qFormat/>
    <w:uiPriority w:val="0"/>
    <w:pPr>
      <w:jc w:val="both"/>
    </w:pPr>
    <w:rPr>
      <w:rFonts w:ascii="Times New Roman" w:hAnsi="Times New Roman" w:eastAsia="宋体" w:cs="Times New Roman"/>
      <w:kern w:val="2"/>
      <w:sz w:val="21"/>
      <w:szCs w:val="21"/>
      <w:lang w:val="en-US" w:eastAsia="zh-CN" w:bidi="ar-SA"/>
    </w:rPr>
  </w:style>
  <w:style w:type="paragraph" w:customStyle="1" w:styleId="116">
    <w:name w:val="正文17"/>
    <w:qFormat/>
    <w:uiPriority w:val="0"/>
    <w:pPr>
      <w:jc w:val="both"/>
    </w:pPr>
    <w:rPr>
      <w:rFonts w:ascii="Times New Roman" w:hAnsi="Times New Roman" w:eastAsia="宋体" w:cs="Times New Roman"/>
      <w:kern w:val="2"/>
      <w:sz w:val="21"/>
      <w:szCs w:val="21"/>
      <w:lang w:val="en-US" w:eastAsia="zh-CN" w:bidi="ar-SA"/>
    </w:rPr>
  </w:style>
  <w:style w:type="character" w:customStyle="1" w:styleId="117">
    <w:name w:val="font11"/>
    <w:basedOn w:val="22"/>
    <w:qFormat/>
    <w:uiPriority w:val="0"/>
    <w:rPr>
      <w:rFonts w:hint="default" w:ascii="Times New Roman" w:hAnsi="Times New Roman" w:cs="Times New Roman"/>
      <w:color w:val="000000"/>
      <w:sz w:val="21"/>
      <w:szCs w:val="21"/>
      <w:u w:val="none"/>
    </w:rPr>
  </w:style>
  <w:style w:type="character" w:customStyle="1" w:styleId="118">
    <w:name w:val="font21"/>
    <w:basedOn w:val="22"/>
    <w:qFormat/>
    <w:uiPriority w:val="0"/>
    <w:rPr>
      <w:rFonts w:hint="eastAsia" w:ascii="宋体" w:hAnsi="宋体" w:eastAsia="宋体"/>
      <w:color w:val="000000"/>
      <w:sz w:val="21"/>
      <w:szCs w:val="21"/>
      <w:u w:val="none"/>
    </w:rPr>
  </w:style>
  <w:style w:type="paragraph" w:styleId="119">
    <w:name w:val="List Paragraph"/>
    <w:basedOn w:val="1"/>
    <w:semiHidden/>
    <w:qFormat/>
    <w:uiPriority w:val="1"/>
    <w:pPr>
      <w:ind w:firstLine="420" w:firstLineChars="200"/>
    </w:pPr>
  </w:style>
  <w:style w:type="paragraph" w:customStyle="1" w:styleId="120">
    <w:name w:val="表内居中"/>
    <w:basedOn w:val="82"/>
    <w:link w:val="121"/>
    <w:qFormat/>
    <w:uiPriority w:val="0"/>
    <w:pPr>
      <w:ind w:firstLine="0" w:firstLineChars="0"/>
      <w:jc w:val="center"/>
    </w:pPr>
  </w:style>
  <w:style w:type="character" w:customStyle="1" w:styleId="121">
    <w:name w:val="表内居中 字符"/>
    <w:basedOn w:val="87"/>
    <w:link w:val="120"/>
    <w:qFormat/>
    <w:uiPriority w:val="0"/>
    <w:rPr>
      <w:sz w:val="21"/>
    </w:rPr>
  </w:style>
  <w:style w:type="paragraph" w:customStyle="1" w:styleId="122">
    <w:name w:val="正文18"/>
    <w:qFormat/>
    <w:uiPriority w:val="0"/>
    <w:pPr>
      <w:jc w:val="both"/>
    </w:pPr>
    <w:rPr>
      <w:rFonts w:ascii="Times New Roman" w:hAnsi="Times New Roman" w:eastAsia="宋体" w:cs="Times New Roman"/>
      <w:kern w:val="2"/>
      <w:sz w:val="21"/>
      <w:szCs w:val="21"/>
      <w:lang w:val="en-US" w:eastAsia="zh-CN" w:bidi="ar-SA"/>
    </w:rPr>
  </w:style>
  <w:style w:type="paragraph" w:customStyle="1" w:styleId="123">
    <w:name w:val="2.表内居中"/>
    <w:basedOn w:val="1"/>
    <w:qFormat/>
    <w:uiPriority w:val="0"/>
    <w:pPr>
      <w:widowControl/>
      <w:jc w:val="center"/>
    </w:pPr>
    <w:rPr>
      <w:bCs/>
      <w:color w:val="000000"/>
      <w:kern w:val="0"/>
      <w:szCs w:val="21"/>
    </w:rPr>
  </w:style>
  <w:style w:type="paragraph" w:customStyle="1" w:styleId="124">
    <w:name w:val="3.表格正文"/>
    <w:basedOn w:val="1"/>
    <w:qFormat/>
    <w:uiPriority w:val="0"/>
    <w:pPr>
      <w:widowControl/>
      <w:ind w:firstLine="200" w:firstLineChars="200"/>
    </w:pPr>
    <w:rPr>
      <w:bCs/>
      <w:color w:val="000000"/>
      <w:kern w:val="0"/>
      <w:szCs w:val="21"/>
    </w:rPr>
  </w:style>
  <w:style w:type="paragraph" w:customStyle="1" w:styleId="125">
    <w:name w:val="5.表内注释"/>
    <w:basedOn w:val="1"/>
    <w:qFormat/>
    <w:uiPriority w:val="0"/>
    <w:pPr>
      <w:widowControl/>
      <w:ind w:firstLine="40" w:firstLineChars="200"/>
      <w:jc w:val="left"/>
    </w:pPr>
    <w:rPr>
      <w:b/>
      <w:bCs/>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theme" Target="theme/theme1.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package" Target="embeddings/Microsoft_Visio___2.vsd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package" Target="embeddings/Microsoft_Visio___1.vsdx"/><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115</Pages>
  <Words>12271</Words>
  <Characters>12695</Characters>
  <Lines>400</Lines>
  <Paragraphs>112</Paragraphs>
  <TotalTime>10</TotalTime>
  <ScaleCrop>false</ScaleCrop>
  <LinksUpToDate>false</LinksUpToDate>
  <CharactersWithSpaces>12784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2021-10-21T06:14:00Z</dcterms:created>
  <dc:creator>lhj</dc:creator>
  <cp:lastModifiedBy>芊寻天天18965830047</cp:lastModifiedBy>
  <cp:lastPrinted>2024-12-20T09:51:00Z</cp:lastPrinted>
  <dcterms:modified xsi:type="dcterms:W3CDTF">2024-12-27T08:32:13Z</dcterms:modified>
  <dc:title>附件2</dc:title>
  <cp:revision>11394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4A92CA800DDB4EFD8CED88E96D31D1F3</vt:lpwstr>
  </property>
  <property fmtid="{D5CDD505-2E9C-101B-9397-08002B2CF9AE}" pid="4" name="KSOTemplateDocerSaveRecord">
    <vt:lpwstr>eyJoZGlkIjoiM2U1ZjdhMDMxNDBiYzUzNjI4Y2VmMzYyNWQ1MGU3ODIiLCJ1c2VySWQiOiI3MTg0MjU4NDIifQ==</vt:lpwstr>
  </property>
</Properties>
</file>