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0" w:lineRule="atLeast"/>
        <w:jc w:val="center"/>
        <w:textAlignment w:val="auto"/>
        <w:outlineLvl w:val="0"/>
        <w:rPr>
          <w:rFonts w:hint="eastAsia" w:ascii="黑体" w:hAnsi="黑体" w:eastAsia="黑体" w:cs="Times New Roman"/>
          <w:b/>
          <w:bCs/>
          <w:sz w:val="40"/>
          <w:szCs w:val="40"/>
        </w:rPr>
      </w:pPr>
      <w:bookmarkStart w:id="0" w:name="_Toc63123337"/>
      <w:bookmarkStart w:id="9" w:name="_GoBack"/>
      <w:r>
        <w:rPr>
          <w:rFonts w:hint="default" w:ascii="黑体" w:hAnsi="黑体" w:eastAsia="黑体" w:cs="Times New Roman"/>
          <w:b/>
          <w:bCs/>
          <w:sz w:val="40"/>
          <w:szCs w:val="40"/>
          <w:lang w:val="en-US" w:eastAsia="zh-CN"/>
        </w:rPr>
        <w:t>“</w:t>
      </w:r>
      <w:r>
        <w:rPr>
          <w:rFonts w:hint="eastAsia" w:ascii="黑体" w:hAnsi="黑体" w:eastAsia="黑体" w:cs="Times New Roman"/>
          <w:b/>
          <w:bCs/>
          <w:sz w:val="40"/>
          <w:szCs w:val="40"/>
          <w:lang w:val="en-US" w:eastAsia="zh-CN"/>
        </w:rPr>
        <w:t>十四五</w:t>
      </w:r>
      <w:r>
        <w:rPr>
          <w:rFonts w:hint="default" w:ascii="黑体" w:hAnsi="黑体" w:eastAsia="黑体" w:cs="Times New Roman"/>
          <w:b/>
          <w:bCs/>
          <w:sz w:val="40"/>
          <w:szCs w:val="40"/>
          <w:lang w:val="en-US" w:eastAsia="zh-CN"/>
        </w:rPr>
        <w:t>”</w:t>
      </w:r>
      <w:r>
        <w:rPr>
          <w:rFonts w:hint="eastAsia" w:ascii="黑体" w:hAnsi="黑体" w:eastAsia="黑体" w:cs="Times New Roman"/>
          <w:b/>
          <w:bCs/>
          <w:sz w:val="40"/>
          <w:szCs w:val="40"/>
          <w:lang w:val="en-US" w:eastAsia="zh-CN"/>
        </w:rPr>
        <w:t>期以</w:t>
      </w:r>
      <w:r>
        <w:rPr>
          <w:rFonts w:hint="eastAsia" w:ascii="黑体" w:hAnsi="黑体" w:eastAsia="黑体" w:cs="Times New Roman"/>
          <w:b/>
          <w:bCs/>
          <w:sz w:val="40"/>
          <w:szCs w:val="40"/>
        </w:rPr>
        <w:t>创新驱动</w:t>
      </w:r>
      <w:r>
        <w:rPr>
          <w:rFonts w:hint="eastAsia" w:ascii="黑体" w:hAnsi="黑体" w:eastAsia="黑体" w:cs="Times New Roman"/>
          <w:b/>
          <w:bCs/>
          <w:sz w:val="40"/>
          <w:szCs w:val="40"/>
          <w:lang w:val="en-US" w:eastAsia="zh-CN"/>
        </w:rPr>
        <w:t>县域经济</w:t>
      </w:r>
      <w:r>
        <w:rPr>
          <w:rFonts w:hint="eastAsia" w:ascii="黑体" w:hAnsi="黑体" w:eastAsia="黑体" w:cs="Times New Roman"/>
          <w:b/>
          <w:bCs/>
          <w:sz w:val="40"/>
          <w:szCs w:val="40"/>
        </w:rPr>
        <w:t>高质量发展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0" w:lineRule="atLeast"/>
        <w:jc w:val="center"/>
        <w:textAlignment w:val="auto"/>
        <w:outlineLvl w:val="0"/>
        <w:rPr>
          <w:rFonts w:hint="default" w:ascii="黑体" w:hAnsi="黑体" w:eastAsia="黑体" w:cs="Times New Roman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40"/>
          <w:szCs w:val="40"/>
          <w:lang w:val="en-US" w:eastAsia="zh-CN"/>
        </w:rPr>
        <w:t>的主要措施</w:t>
      </w:r>
    </w:p>
    <w:bookmarkEnd w:id="9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600" w:lineRule="auto"/>
        <w:ind w:firstLine="723" w:firstLineChars="200"/>
        <w:jc w:val="both"/>
        <w:textAlignment w:val="auto"/>
        <w:outlineLvl w:val="1"/>
        <w:rPr>
          <w:rFonts w:hint="eastAsia" w:ascii="楷体" w:hAnsi="楷体" w:eastAsia="楷体" w:cs="Times New Roman"/>
          <w:b/>
          <w:sz w:val="36"/>
          <w:szCs w:val="36"/>
          <w:lang w:val="en-US" w:eastAsia="zh-CN"/>
        </w:rPr>
      </w:pPr>
      <w:bookmarkStart w:id="1" w:name="_Toc63123338"/>
      <w:bookmarkStart w:id="2" w:name="_Toc215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600" w:lineRule="auto"/>
        <w:ind w:firstLine="723" w:firstLineChars="200"/>
        <w:jc w:val="both"/>
        <w:textAlignment w:val="auto"/>
        <w:outlineLvl w:val="1"/>
        <w:rPr>
          <w:rFonts w:ascii="楷体" w:hAnsi="楷体" w:eastAsia="楷体" w:cs="Times New Roman"/>
          <w:b/>
          <w:sz w:val="36"/>
          <w:szCs w:val="36"/>
        </w:rPr>
      </w:pPr>
      <w:r>
        <w:rPr>
          <w:rFonts w:hint="eastAsia" w:ascii="楷体" w:hAnsi="楷体" w:eastAsia="楷体" w:cs="Times New Roman"/>
          <w:b/>
          <w:sz w:val="36"/>
          <w:szCs w:val="36"/>
          <w:lang w:val="en-US" w:eastAsia="zh-CN"/>
        </w:rPr>
        <w:t>一、</w:t>
      </w:r>
      <w:r>
        <w:rPr>
          <w:rFonts w:hint="eastAsia" w:ascii="楷体" w:hAnsi="楷体" w:eastAsia="楷体" w:cs="Times New Roman"/>
          <w:b/>
          <w:sz w:val="36"/>
          <w:szCs w:val="36"/>
        </w:rPr>
        <w:t>加快创新主体培育</w:t>
      </w:r>
      <w:bookmarkEnd w:id="1"/>
      <w:bookmarkEnd w:id="2"/>
    </w:p>
    <w:p>
      <w:pPr>
        <w:spacing w:line="360" w:lineRule="auto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聚焦现代化工、装备制造等优势产业，建立创新型龙头企业培育库，重点培育科技“雏鹰”企业和创新型龙头企业，在项目建设、技术创新、人才引进、各项资源配置等方面给予专项政策支持。实施高新技术企业倍增计划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bCs/>
          <w:sz w:val="32"/>
          <w:szCs w:val="32"/>
        </w:rPr>
        <w:t>科技型中小企业“春笋”计划，力争涌现出更多科技型中小企业。支持科技企业在创业板、科创板上市融资，推进科技金融服务和产品创新，加快完善企业创新服务体系。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600" w:lineRule="auto"/>
        <w:ind w:firstLine="723" w:firstLineChars="200"/>
        <w:jc w:val="both"/>
        <w:textAlignment w:val="auto"/>
        <w:outlineLvl w:val="1"/>
        <w:rPr>
          <w:rFonts w:hint="eastAsia" w:ascii="楷体" w:hAnsi="楷体" w:eastAsia="楷体" w:cs="Times New Roman"/>
          <w:b/>
          <w:sz w:val="36"/>
          <w:szCs w:val="36"/>
          <w:lang w:val="en-US" w:eastAsia="zh-CN"/>
        </w:rPr>
      </w:pPr>
      <w:bookmarkStart w:id="3" w:name="_Toc22491"/>
      <w:bookmarkStart w:id="4" w:name="_Toc63123339"/>
      <w:r>
        <w:rPr>
          <w:rFonts w:hint="eastAsia" w:ascii="楷体" w:hAnsi="楷体" w:eastAsia="楷体" w:cs="Times New Roman"/>
          <w:b/>
          <w:sz w:val="36"/>
          <w:szCs w:val="36"/>
          <w:lang w:val="en-US" w:eastAsia="zh-CN"/>
        </w:rPr>
        <w:t>二、强化创新平台建设</w:t>
      </w:r>
      <w:bookmarkEnd w:id="3"/>
      <w:bookmarkEnd w:id="4"/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以郑洛新国家自主创新示范区建设为契机，深化优势企业与省内外一流高校、知名科研院所的合作，共建各级工程技术研究中心、工程研究中心、科技协同创新创业中心、企业技术中心，力争合作领域拓展到全县多个行业，鼓励具备条件的创新平台和实验室加快晋级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600" w:lineRule="auto"/>
        <w:ind w:firstLine="723" w:firstLineChars="200"/>
        <w:jc w:val="both"/>
        <w:textAlignment w:val="auto"/>
        <w:outlineLvl w:val="1"/>
        <w:rPr>
          <w:rFonts w:hint="eastAsia" w:ascii="楷体" w:hAnsi="楷体" w:eastAsia="楷体" w:cs="Times New Roman"/>
          <w:b/>
          <w:sz w:val="36"/>
          <w:szCs w:val="36"/>
          <w:lang w:val="en-US" w:eastAsia="zh-CN"/>
        </w:rPr>
      </w:pPr>
      <w:bookmarkStart w:id="5" w:name="_Toc4166"/>
      <w:bookmarkStart w:id="6" w:name="_Toc63123340"/>
      <w:r>
        <w:rPr>
          <w:rFonts w:hint="eastAsia" w:ascii="楷体" w:hAnsi="楷体" w:eastAsia="楷体" w:cs="Times New Roman"/>
          <w:b/>
          <w:sz w:val="36"/>
          <w:szCs w:val="36"/>
          <w:lang w:val="en-US" w:eastAsia="zh-CN"/>
        </w:rPr>
        <w:t>三、推进技术研发与转化</w:t>
      </w:r>
      <w:bookmarkEnd w:id="5"/>
      <w:bookmarkEnd w:id="6"/>
    </w:p>
    <w:p>
      <w:pPr>
        <w:spacing w:line="360" w:lineRule="auto"/>
        <w:ind w:firstLine="640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围绕化工、智能装备、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现代物流</w:t>
      </w:r>
      <w:r>
        <w:rPr>
          <w:rFonts w:hint="eastAsia" w:ascii="仿宋" w:hAnsi="仿宋" w:eastAsia="仿宋" w:cs="Times New Roman"/>
          <w:bCs/>
          <w:sz w:val="32"/>
          <w:szCs w:val="32"/>
        </w:rPr>
        <w:t>等领域开展核心技术攻关行动，滚动编制关键核心技术攻关清单，整合全县科技创新资源，高水平建设集科研、办公、企业孵化、中试生产、会议、展览、科技服务等为一体的综合性科技创新平台，加快科技成果的转移转化，力争形成比较成熟的技术培育与成果转化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600" w:lineRule="auto"/>
        <w:ind w:firstLine="723" w:firstLineChars="200"/>
        <w:jc w:val="both"/>
        <w:textAlignment w:val="auto"/>
        <w:outlineLvl w:val="1"/>
        <w:rPr>
          <w:rFonts w:hint="eastAsia" w:ascii="楷体" w:hAnsi="楷体" w:eastAsia="楷体" w:cs="Times New Roman"/>
          <w:b/>
          <w:sz w:val="36"/>
          <w:szCs w:val="36"/>
          <w:lang w:val="en-US" w:eastAsia="zh-CN"/>
        </w:rPr>
      </w:pPr>
      <w:bookmarkStart w:id="7" w:name="_Toc63123341"/>
      <w:bookmarkStart w:id="8" w:name="_Toc12961"/>
      <w:r>
        <w:rPr>
          <w:rFonts w:hint="eastAsia" w:ascii="楷体" w:hAnsi="楷体" w:eastAsia="楷体" w:cs="Times New Roman"/>
          <w:b/>
          <w:sz w:val="36"/>
          <w:szCs w:val="36"/>
          <w:lang w:val="en-US" w:eastAsia="zh-CN"/>
        </w:rPr>
        <w:t>四、加强人才引进和培养</w:t>
      </w:r>
      <w:bookmarkEnd w:id="7"/>
      <w:bookmarkEnd w:id="8"/>
    </w:p>
    <w:p>
      <w:pPr>
        <w:spacing w:line="360" w:lineRule="auto"/>
        <w:ind w:firstLine="640" w:firstLineChars="200"/>
      </w:pPr>
      <w:r>
        <w:rPr>
          <w:rFonts w:hint="eastAsia" w:ascii="仿宋" w:hAnsi="仿宋" w:eastAsia="仿宋" w:cs="Times New Roman"/>
          <w:bCs/>
          <w:sz w:val="32"/>
          <w:szCs w:val="32"/>
        </w:rPr>
        <w:t>实施“同盟英才计划”，加快引进一批急需紧缺和高层次人才。</w:t>
      </w:r>
      <w:r>
        <w:rPr>
          <w:rFonts w:hint="eastAsia" w:ascii="仿宋" w:hAnsi="仿宋" w:eastAsia="仿宋" w:cs="Times New Roman"/>
          <w:sz w:val="32"/>
          <w:szCs w:val="32"/>
        </w:rPr>
        <w:t>支持重点企业与省内外高等院校、科研机构等通过兼职挂职、技术咨询、项目合作等方式建立长期的技术合作关系。持续推进全民技能振兴工程和高技能人才振兴计划，积极开展职业技能竞赛，弘扬企业家精神和新时代豫商精神，实施</w:t>
      </w:r>
      <w:r>
        <w:rPr>
          <w:rFonts w:hint="eastAsia" w:ascii="仿宋" w:hAnsi="仿宋" w:eastAsia="仿宋" w:cs="Times New Roman"/>
          <w:bCs/>
          <w:sz w:val="32"/>
          <w:szCs w:val="32"/>
        </w:rPr>
        <w:t>企业家队伍壮大和素质提升工程，推动企业家队伍健康成长。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C4F39"/>
    <w:rsid w:val="368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2022-12-29T08:00:00Z</dcterms:created>
  <dc:creator>ZHG</dc:creator>
  <cp:lastModifiedBy>ZHG</cp:lastModifiedBy>
  <dcterms:modified xsi:type="dcterms:W3CDTF">2022-12-29T08:23:03Z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